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B045F" w14:textId="77777777" w:rsidR="00803F26" w:rsidRPr="00803F26" w:rsidRDefault="00803F26" w:rsidP="00803F26">
      <w:pPr>
        <w:spacing w:after="160" w:line="278" w:lineRule="auto"/>
        <w:jc w:val="center"/>
        <w:rPr>
          <w:rFonts w:eastAsiaTheme="minorHAnsi"/>
          <w:b/>
          <w:bCs/>
          <w:color w:val="000000" w:themeColor="text1"/>
          <w:kern w:val="2"/>
          <w:lang w:val="en-US" w:eastAsia="en-US"/>
          <w14:ligatures w14:val="standardContextual"/>
        </w:rPr>
      </w:pPr>
      <w:r w:rsidRPr="00803F26">
        <w:rPr>
          <w:rFonts w:eastAsiaTheme="minorHAnsi"/>
          <w:b/>
          <w:bCs/>
          <w:color w:val="000000" w:themeColor="text1"/>
          <w:kern w:val="2"/>
          <w:lang w:val="en-US" w:eastAsia="en-US"/>
          <w14:ligatures w14:val="standardContextual"/>
        </w:rPr>
        <w:t>BINDURA UNIVERSITY OF SCIENCE EDUCATION</w:t>
      </w:r>
    </w:p>
    <w:p w14:paraId="131388DB" w14:textId="77777777" w:rsidR="00803F26" w:rsidRPr="00803F26" w:rsidRDefault="00803F26" w:rsidP="00803F26">
      <w:pPr>
        <w:spacing w:after="160" w:line="278" w:lineRule="auto"/>
        <w:jc w:val="center"/>
        <w:rPr>
          <w:rFonts w:eastAsiaTheme="minorHAnsi"/>
          <w:b/>
          <w:bCs/>
          <w:color w:val="000000" w:themeColor="text1"/>
          <w:kern w:val="2"/>
          <w:lang w:val="en-US" w:eastAsia="en-US"/>
          <w14:ligatures w14:val="standardContextual"/>
        </w:rPr>
      </w:pPr>
      <w:r w:rsidRPr="00803F26">
        <w:rPr>
          <w:rFonts w:eastAsiaTheme="minorHAnsi"/>
          <w:b/>
          <w:bCs/>
          <w:color w:val="000000" w:themeColor="text1"/>
          <w:kern w:val="2"/>
          <w:lang w:val="en-US" w:eastAsia="en-US"/>
          <w14:ligatures w14:val="standardContextual"/>
        </w:rPr>
        <w:t>GEOGRAPHY DEPARTMENT</w:t>
      </w:r>
    </w:p>
    <w:p w14:paraId="491A66A7" w14:textId="6CA20F50" w:rsidR="006E5540" w:rsidRPr="000657B6" w:rsidRDefault="00C96E01" w:rsidP="000657B6">
      <w:pPr>
        <w:jc w:val="center"/>
        <w:rPr>
          <w:b/>
          <w:bCs/>
          <w:color w:val="000000" w:themeColor="text1"/>
        </w:rPr>
      </w:pPr>
      <w:r w:rsidRPr="005A3D20">
        <w:rPr>
          <w:rFonts w:ascii="Calibri" w:eastAsia="Calibri" w:hAnsi="Calibri"/>
          <w:noProof/>
        </w:rPr>
        <w:drawing>
          <wp:inline distT="0" distB="0" distL="0" distR="0" wp14:anchorId="2032536B" wp14:editId="45B70451">
            <wp:extent cx="2000250" cy="1927860"/>
            <wp:effectExtent l="19050" t="0" r="0" b="0"/>
            <wp:docPr id="1" name="Picture 1" descr="C:\Users\lenovo\Desktop\BU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C:\Users\lenovo\Desktop\BUSE LOGO.jpg"/>
                    <pic:cNvPicPr>
                      <a:picLocks noChangeAspect="1" noChangeArrowheads="1"/>
                    </pic:cNvPicPr>
                  </pic:nvPicPr>
                  <pic:blipFill>
                    <a:blip r:embed="rId8" cstate="print"/>
                    <a:stretch>
                      <a:fillRect/>
                    </a:stretch>
                  </pic:blipFill>
                  <pic:spPr>
                    <a:xfrm>
                      <a:off x="0" y="0"/>
                      <a:ext cx="2006072" cy="1933471"/>
                    </a:xfrm>
                    <a:prstGeom prst="rect">
                      <a:avLst/>
                    </a:prstGeom>
                    <a:noFill/>
                    <a:ln w="9525">
                      <a:noFill/>
                      <a:miter lim="800000"/>
                      <a:headEnd/>
                      <a:tailEnd/>
                    </a:ln>
                  </pic:spPr>
                </pic:pic>
              </a:graphicData>
            </a:graphic>
          </wp:inline>
        </w:drawing>
      </w:r>
    </w:p>
    <w:p w14:paraId="14E0E226" w14:textId="77777777" w:rsidR="006E5540" w:rsidRPr="000657B6" w:rsidRDefault="006E5540" w:rsidP="000657B6">
      <w:pPr>
        <w:jc w:val="center"/>
        <w:rPr>
          <w:b/>
          <w:bCs/>
          <w:color w:val="000000" w:themeColor="text1"/>
        </w:rPr>
      </w:pPr>
    </w:p>
    <w:p w14:paraId="1250783E" w14:textId="77777777" w:rsidR="006E5540" w:rsidRPr="000657B6" w:rsidRDefault="006E5540" w:rsidP="000657B6">
      <w:pPr>
        <w:jc w:val="center"/>
        <w:rPr>
          <w:b/>
          <w:bCs/>
          <w:color w:val="000000" w:themeColor="text1"/>
        </w:rPr>
      </w:pPr>
      <w:r w:rsidRPr="000657B6">
        <w:rPr>
          <w:b/>
          <w:bCs/>
          <w:color w:val="000000" w:themeColor="text1"/>
        </w:rPr>
        <w:t>TITLE OF PROJECT</w:t>
      </w:r>
    </w:p>
    <w:p w14:paraId="34218AFC" w14:textId="2ACDB6F6" w:rsidR="006E5540" w:rsidRPr="000657B6" w:rsidRDefault="006E5540" w:rsidP="000657B6">
      <w:pPr>
        <w:jc w:val="center"/>
        <w:rPr>
          <w:b/>
          <w:bCs/>
          <w:color w:val="000000" w:themeColor="text1"/>
        </w:rPr>
      </w:pPr>
      <w:bookmarkStart w:id="0" w:name="_Hlk216339129"/>
      <w:r w:rsidRPr="000657B6">
        <w:rPr>
          <w:b/>
          <w:bCs/>
          <w:color w:val="000000" w:themeColor="text1"/>
        </w:rPr>
        <w:t>AN ASSESSMENT OF THE IMPACT OF FIRE HAZARDS IN URBAN AREAS. A CASE STUDY OF HARARE CITY</w:t>
      </w:r>
    </w:p>
    <w:bookmarkEnd w:id="0"/>
    <w:p w14:paraId="05DDC2B0" w14:textId="77777777" w:rsidR="006E5540" w:rsidRPr="000657B6" w:rsidRDefault="006E5540" w:rsidP="000657B6">
      <w:pPr>
        <w:jc w:val="center"/>
        <w:rPr>
          <w:b/>
          <w:bCs/>
          <w:color w:val="000000" w:themeColor="text1"/>
        </w:rPr>
      </w:pPr>
      <w:r w:rsidRPr="000657B6">
        <w:rPr>
          <w:b/>
          <w:bCs/>
          <w:color w:val="000000" w:themeColor="text1"/>
        </w:rPr>
        <w:t>BY</w:t>
      </w:r>
    </w:p>
    <w:p w14:paraId="278284F3" w14:textId="77777777" w:rsidR="006E5540" w:rsidRPr="000657B6" w:rsidRDefault="006E5540" w:rsidP="000657B6">
      <w:pPr>
        <w:jc w:val="center"/>
        <w:rPr>
          <w:b/>
          <w:bCs/>
          <w:color w:val="000000" w:themeColor="text1"/>
        </w:rPr>
      </w:pPr>
    </w:p>
    <w:p w14:paraId="55331BCB" w14:textId="77777777" w:rsidR="006E5540" w:rsidRPr="000657B6" w:rsidRDefault="006E5540" w:rsidP="000657B6">
      <w:pPr>
        <w:jc w:val="center"/>
        <w:rPr>
          <w:b/>
          <w:bCs/>
          <w:color w:val="000000" w:themeColor="text1"/>
        </w:rPr>
      </w:pPr>
      <w:r w:rsidRPr="000657B6">
        <w:rPr>
          <w:b/>
          <w:bCs/>
          <w:color w:val="000000" w:themeColor="text1"/>
        </w:rPr>
        <w:t>AUTHOR</w:t>
      </w:r>
    </w:p>
    <w:p w14:paraId="24BE1975" w14:textId="77777777" w:rsidR="006E5540" w:rsidRPr="000657B6" w:rsidRDefault="006E5540" w:rsidP="000657B6">
      <w:pPr>
        <w:jc w:val="center"/>
        <w:rPr>
          <w:b/>
          <w:bCs/>
          <w:color w:val="000000" w:themeColor="text1"/>
        </w:rPr>
      </w:pPr>
      <w:r w:rsidRPr="000657B6">
        <w:rPr>
          <w:b/>
          <w:bCs/>
          <w:color w:val="000000" w:themeColor="text1"/>
        </w:rPr>
        <w:t>BATSIRAI TAYLOR CHINYOWA</w:t>
      </w:r>
    </w:p>
    <w:p w14:paraId="2BE367C2" w14:textId="77777777" w:rsidR="006E5540" w:rsidRPr="000657B6" w:rsidRDefault="006E5540" w:rsidP="000657B6">
      <w:pPr>
        <w:jc w:val="center"/>
        <w:rPr>
          <w:b/>
          <w:bCs/>
          <w:color w:val="000000" w:themeColor="text1"/>
        </w:rPr>
      </w:pPr>
    </w:p>
    <w:p w14:paraId="4E10578A" w14:textId="77777777" w:rsidR="006E5540" w:rsidRPr="000657B6" w:rsidRDefault="006E5540" w:rsidP="000657B6">
      <w:pPr>
        <w:jc w:val="center"/>
        <w:rPr>
          <w:b/>
          <w:bCs/>
          <w:color w:val="000000" w:themeColor="text1"/>
        </w:rPr>
      </w:pPr>
    </w:p>
    <w:p w14:paraId="63FB2FB5" w14:textId="30F0B284" w:rsidR="006E5540" w:rsidRPr="000657B6" w:rsidRDefault="006E5540" w:rsidP="000657B6">
      <w:pPr>
        <w:jc w:val="center"/>
        <w:rPr>
          <w:b/>
          <w:bCs/>
          <w:color w:val="000000" w:themeColor="text1"/>
        </w:rPr>
      </w:pPr>
      <w:r w:rsidRPr="000657B6">
        <w:rPr>
          <w:b/>
          <w:bCs/>
          <w:color w:val="000000" w:themeColor="text1"/>
        </w:rPr>
        <w:t>DISSERTATION SUBMITTED TO BINDURA UNIVERSITY IN PARTIAL FULFILMENT OF THE REQUIREMENTS OF THE MASTER OF SCIENCE DEGREE IN DISASTER RISK MANAGEMENT</w:t>
      </w:r>
    </w:p>
    <w:p w14:paraId="36622625" w14:textId="1CFD3FCE" w:rsidR="006E5540" w:rsidRPr="000657B6" w:rsidRDefault="006E5540" w:rsidP="000657B6">
      <w:pPr>
        <w:jc w:val="center"/>
        <w:rPr>
          <w:b/>
          <w:bCs/>
          <w:color w:val="000000" w:themeColor="text1"/>
        </w:rPr>
      </w:pPr>
    </w:p>
    <w:p w14:paraId="6E5E28CA" w14:textId="77777777" w:rsidR="006E5540" w:rsidRPr="000657B6" w:rsidRDefault="006E5540" w:rsidP="000657B6">
      <w:pPr>
        <w:jc w:val="center"/>
        <w:rPr>
          <w:b/>
          <w:bCs/>
          <w:color w:val="000000" w:themeColor="text1"/>
        </w:rPr>
      </w:pPr>
    </w:p>
    <w:p w14:paraId="2D4FB4EF" w14:textId="77777777" w:rsidR="006E5540" w:rsidRPr="000657B6" w:rsidRDefault="006E5540" w:rsidP="000657B6">
      <w:pPr>
        <w:jc w:val="center"/>
        <w:rPr>
          <w:b/>
          <w:bCs/>
          <w:color w:val="000000" w:themeColor="text1"/>
        </w:rPr>
      </w:pPr>
      <w:r w:rsidRPr="000657B6">
        <w:rPr>
          <w:b/>
          <w:bCs/>
          <w:color w:val="000000" w:themeColor="text1"/>
        </w:rPr>
        <w:t>DATE</w:t>
      </w:r>
    </w:p>
    <w:p w14:paraId="65DD0FDC" w14:textId="77777777" w:rsidR="006E5540" w:rsidRPr="000657B6" w:rsidRDefault="006E5540" w:rsidP="000657B6">
      <w:pPr>
        <w:jc w:val="center"/>
        <w:rPr>
          <w:b/>
          <w:bCs/>
          <w:color w:val="000000" w:themeColor="text1"/>
        </w:rPr>
      </w:pPr>
      <w:r w:rsidRPr="000657B6">
        <w:rPr>
          <w:b/>
          <w:bCs/>
          <w:color w:val="000000" w:themeColor="text1"/>
        </w:rPr>
        <w:t>2025</w:t>
      </w:r>
    </w:p>
    <w:p w14:paraId="1E25073A" w14:textId="77777777" w:rsidR="00960319" w:rsidRPr="000657B6" w:rsidRDefault="00960319" w:rsidP="000657B6">
      <w:pPr>
        <w:jc w:val="center"/>
        <w:rPr>
          <w:b/>
          <w:bCs/>
          <w:color w:val="000000" w:themeColor="text1"/>
        </w:rPr>
      </w:pPr>
    </w:p>
    <w:p w14:paraId="2B75309A" w14:textId="77777777" w:rsidR="006E5540" w:rsidRPr="000657B6" w:rsidRDefault="006E5540" w:rsidP="000657B6">
      <w:pPr>
        <w:jc w:val="center"/>
        <w:rPr>
          <w:b/>
          <w:bCs/>
          <w:color w:val="000000" w:themeColor="text1"/>
        </w:rPr>
      </w:pPr>
    </w:p>
    <w:p w14:paraId="3F040343" w14:textId="77777777" w:rsidR="006E5540" w:rsidRPr="000657B6" w:rsidRDefault="006E5540" w:rsidP="000657B6">
      <w:pPr>
        <w:jc w:val="center"/>
        <w:rPr>
          <w:b/>
          <w:bCs/>
          <w:color w:val="000000" w:themeColor="text1"/>
        </w:rPr>
      </w:pPr>
    </w:p>
    <w:p w14:paraId="053DE986" w14:textId="77777777" w:rsidR="006E5540" w:rsidRPr="000657B6" w:rsidRDefault="006E5540" w:rsidP="000657B6">
      <w:pPr>
        <w:jc w:val="center"/>
        <w:rPr>
          <w:b/>
          <w:bCs/>
          <w:color w:val="000000" w:themeColor="text1"/>
        </w:rPr>
      </w:pPr>
    </w:p>
    <w:p w14:paraId="7FBF0D02" w14:textId="77777777" w:rsidR="006E5540" w:rsidRPr="000657B6" w:rsidRDefault="006E5540" w:rsidP="000657B6">
      <w:pPr>
        <w:jc w:val="center"/>
        <w:rPr>
          <w:b/>
          <w:bCs/>
          <w:color w:val="000000" w:themeColor="text1"/>
        </w:rPr>
      </w:pPr>
    </w:p>
    <w:p w14:paraId="5C82FC9E" w14:textId="0A264D55" w:rsidR="005C1C7A" w:rsidRDefault="005C1C7A" w:rsidP="002B358B">
      <w:pPr>
        <w:jc w:val="both"/>
        <w:rPr>
          <w:color w:val="000000" w:themeColor="text1"/>
        </w:rPr>
        <w:sectPr w:rsidR="005C1C7A" w:rsidSect="00197F1F">
          <w:footerReference w:type="default" r:id="rId9"/>
          <w:pgSz w:w="12240" w:h="15840"/>
          <w:pgMar w:top="1440" w:right="1440" w:bottom="1440" w:left="1440" w:header="720" w:footer="720" w:gutter="0"/>
          <w:pgBorders w:display="firstPage" w:offsetFrom="page">
            <w:top w:val="single" w:sz="24" w:space="24" w:color="auto"/>
            <w:left w:val="single" w:sz="24" w:space="24" w:color="auto"/>
            <w:bottom w:val="single" w:sz="24" w:space="24" w:color="auto"/>
            <w:right w:val="single" w:sz="24" w:space="24" w:color="auto"/>
          </w:pgBorders>
          <w:cols w:space="720"/>
          <w:docGrid w:linePitch="360"/>
        </w:sectPr>
      </w:pPr>
    </w:p>
    <w:p w14:paraId="668482D8" w14:textId="2C38B994" w:rsidR="00FB130A" w:rsidRDefault="00FB130A" w:rsidP="008567CE">
      <w:pPr>
        <w:pStyle w:val="Heading1"/>
        <w:jc w:val="left"/>
        <w:rPr>
          <w:rFonts w:eastAsia="Calibri"/>
        </w:rPr>
      </w:pPr>
      <w:bookmarkStart w:id="1" w:name="_Toc86467247"/>
      <w:bookmarkStart w:id="2" w:name="_Toc103090030"/>
      <w:bookmarkStart w:id="3" w:name="_Toc215652847"/>
    </w:p>
    <w:p w14:paraId="0E71E354" w14:textId="1C6B96CA" w:rsidR="002D47D9" w:rsidRPr="006963FC" w:rsidRDefault="002D47D9" w:rsidP="006C3EB9">
      <w:pPr>
        <w:pStyle w:val="Heading1"/>
        <w:rPr>
          <w:rFonts w:eastAsia="Calibri"/>
        </w:rPr>
      </w:pPr>
      <w:r w:rsidRPr="006963FC">
        <w:rPr>
          <w:rFonts w:eastAsia="Calibri"/>
        </w:rPr>
        <w:t>RELEASE FORM</w:t>
      </w:r>
      <w:bookmarkEnd w:id="1"/>
      <w:bookmarkEnd w:id="2"/>
      <w:bookmarkEnd w:id="3"/>
    </w:p>
    <w:p w14:paraId="422AD932" w14:textId="77777777" w:rsidR="002D47D9" w:rsidRDefault="002D47D9" w:rsidP="002B358B">
      <w:pPr>
        <w:spacing w:line="360" w:lineRule="auto"/>
        <w:jc w:val="both"/>
        <w:rPr>
          <w:b/>
        </w:rPr>
      </w:pPr>
    </w:p>
    <w:p w14:paraId="00DB182D" w14:textId="562EA71A" w:rsidR="002D47D9" w:rsidRDefault="002D47D9" w:rsidP="002B358B">
      <w:pPr>
        <w:spacing w:line="360" w:lineRule="auto"/>
        <w:jc w:val="both"/>
        <w:rPr>
          <w:b/>
        </w:rPr>
      </w:pPr>
      <w:r>
        <w:t xml:space="preserve">Name of author       </w:t>
      </w:r>
      <w:r>
        <w:tab/>
      </w:r>
      <w:r>
        <w:tab/>
      </w:r>
      <w:r>
        <w:tab/>
        <w:t xml:space="preserve">: </w:t>
      </w:r>
      <w:r w:rsidRPr="000657B6">
        <w:rPr>
          <w:b/>
          <w:bCs/>
        </w:rPr>
        <w:t>Batsira</w:t>
      </w:r>
      <w:r w:rsidR="00C42DDC">
        <w:rPr>
          <w:b/>
          <w:bCs/>
        </w:rPr>
        <w:t>i Taylor</w:t>
      </w:r>
      <w:r w:rsidRPr="000657B6">
        <w:rPr>
          <w:b/>
          <w:bCs/>
        </w:rPr>
        <w:t xml:space="preserve"> Chinyowa</w:t>
      </w:r>
    </w:p>
    <w:p w14:paraId="703B34FC" w14:textId="77777777" w:rsidR="002D47D9" w:rsidRDefault="002D47D9" w:rsidP="002B358B">
      <w:pPr>
        <w:spacing w:line="360" w:lineRule="auto"/>
        <w:jc w:val="both"/>
      </w:pPr>
    </w:p>
    <w:p w14:paraId="0CAC6D9F" w14:textId="77777777" w:rsidR="00C42DDC" w:rsidRPr="00C42DDC" w:rsidRDefault="002D47D9" w:rsidP="00C42DDC">
      <w:pPr>
        <w:rPr>
          <w:b/>
          <w:bCs/>
          <w:color w:val="000000" w:themeColor="text1"/>
        </w:rPr>
      </w:pPr>
      <w:r>
        <w:t xml:space="preserve">Title of project </w:t>
      </w:r>
      <w:r w:rsidR="00C42DDC">
        <w:tab/>
      </w:r>
      <w:r w:rsidR="00C42DDC">
        <w:tab/>
      </w:r>
      <w:r w:rsidR="00C42DDC">
        <w:tab/>
      </w:r>
      <w:r>
        <w:t xml:space="preserve">: </w:t>
      </w:r>
      <w:r w:rsidRPr="00C42DDC">
        <w:rPr>
          <w:b/>
          <w:bCs/>
          <w:color w:val="000000" w:themeColor="text1"/>
        </w:rPr>
        <w:t xml:space="preserve">AN ASSESSMENT OF THE IMPACT OF FIRE </w:t>
      </w:r>
    </w:p>
    <w:p w14:paraId="2A6CA20F" w14:textId="5D27FD52" w:rsidR="002D47D9" w:rsidRPr="00C42DDC" w:rsidRDefault="002D47D9" w:rsidP="00C42DDC">
      <w:pPr>
        <w:ind w:left="3600"/>
        <w:rPr>
          <w:b/>
          <w:bCs/>
          <w:color w:val="000000" w:themeColor="text1"/>
        </w:rPr>
      </w:pPr>
      <w:r w:rsidRPr="00C42DDC">
        <w:rPr>
          <w:b/>
          <w:bCs/>
          <w:color w:val="000000" w:themeColor="text1"/>
        </w:rPr>
        <w:t>HAZARDS</w:t>
      </w:r>
      <w:r w:rsidR="00C42DDC" w:rsidRPr="00C42DDC">
        <w:rPr>
          <w:b/>
          <w:bCs/>
          <w:color w:val="000000" w:themeColor="text1"/>
        </w:rPr>
        <w:t xml:space="preserve"> </w:t>
      </w:r>
      <w:r w:rsidRPr="00C42DDC">
        <w:rPr>
          <w:b/>
          <w:bCs/>
          <w:color w:val="000000" w:themeColor="text1"/>
        </w:rPr>
        <w:t>IN</w:t>
      </w:r>
      <w:r w:rsidR="00C42DDC" w:rsidRPr="00C42DDC">
        <w:rPr>
          <w:b/>
          <w:bCs/>
          <w:color w:val="000000" w:themeColor="text1"/>
        </w:rPr>
        <w:t xml:space="preserve"> </w:t>
      </w:r>
      <w:r w:rsidRPr="00C42DDC">
        <w:rPr>
          <w:b/>
          <w:bCs/>
          <w:color w:val="000000" w:themeColor="text1"/>
        </w:rPr>
        <w:t xml:space="preserve">URBAN AREAS. A CASE STUDY OF HARARE CITY </w:t>
      </w:r>
    </w:p>
    <w:p w14:paraId="2491D7DE" w14:textId="77777777" w:rsidR="002D47D9" w:rsidRDefault="002D47D9" w:rsidP="002B358B">
      <w:pPr>
        <w:spacing w:line="360" w:lineRule="auto"/>
        <w:jc w:val="both"/>
      </w:pPr>
    </w:p>
    <w:p w14:paraId="06032C56" w14:textId="77777777" w:rsidR="00C42DDC" w:rsidRDefault="002D47D9" w:rsidP="002B358B">
      <w:pPr>
        <w:jc w:val="both"/>
        <w:rPr>
          <w:b/>
          <w:bCs/>
          <w:color w:val="000000" w:themeColor="text1"/>
        </w:rPr>
      </w:pPr>
      <w:r>
        <w:t xml:space="preserve">Programme        </w:t>
      </w:r>
      <w:r>
        <w:tab/>
      </w:r>
      <w:r w:rsidR="00993346">
        <w:tab/>
      </w:r>
      <w:r w:rsidR="00C42DDC">
        <w:tab/>
      </w:r>
      <w:r w:rsidR="00993346">
        <w:t>: MASTER</w:t>
      </w:r>
      <w:r w:rsidR="00197F1F" w:rsidRPr="00BE2000">
        <w:rPr>
          <w:b/>
          <w:bCs/>
          <w:color w:val="000000" w:themeColor="text1"/>
        </w:rPr>
        <w:t xml:space="preserve"> OF SCIENCE DEGREE IN DISASTER </w:t>
      </w:r>
    </w:p>
    <w:p w14:paraId="229D7969" w14:textId="63351212" w:rsidR="00197F1F" w:rsidRPr="00BE2000" w:rsidRDefault="00197F1F" w:rsidP="00C42DDC">
      <w:pPr>
        <w:ind w:left="3600"/>
        <w:jc w:val="both"/>
        <w:rPr>
          <w:b/>
          <w:bCs/>
          <w:color w:val="000000" w:themeColor="text1"/>
        </w:rPr>
      </w:pPr>
      <w:r w:rsidRPr="00BE2000">
        <w:rPr>
          <w:b/>
          <w:bCs/>
          <w:color w:val="000000" w:themeColor="text1"/>
        </w:rPr>
        <w:t xml:space="preserve">RISK MANAGEMENT </w:t>
      </w:r>
    </w:p>
    <w:p w14:paraId="527976E4" w14:textId="77777777" w:rsidR="00C42DDC" w:rsidRDefault="00C42DDC" w:rsidP="002B358B">
      <w:pPr>
        <w:spacing w:line="360" w:lineRule="auto"/>
        <w:jc w:val="both"/>
      </w:pPr>
    </w:p>
    <w:p w14:paraId="59FC21D5" w14:textId="6E627F60" w:rsidR="002D47D9" w:rsidRDefault="002D47D9" w:rsidP="002B358B">
      <w:pPr>
        <w:spacing w:line="360" w:lineRule="auto"/>
        <w:jc w:val="both"/>
      </w:pPr>
      <w:r>
        <w:t xml:space="preserve">Year </w:t>
      </w:r>
      <w:r w:rsidR="00C42DDC">
        <w:t xml:space="preserve">Granted.  </w:t>
      </w:r>
      <w:r>
        <w:t xml:space="preserve">   </w:t>
      </w:r>
      <w:r>
        <w:tab/>
      </w:r>
      <w:r>
        <w:tab/>
      </w:r>
      <w:r>
        <w:tab/>
        <w:t>: 202</w:t>
      </w:r>
      <w:r w:rsidR="00197F1F">
        <w:t>5</w:t>
      </w:r>
    </w:p>
    <w:p w14:paraId="38AACB0F" w14:textId="77777777" w:rsidR="002D47D9" w:rsidRDefault="002D47D9" w:rsidP="002B358B">
      <w:pPr>
        <w:spacing w:line="360" w:lineRule="auto"/>
        <w:jc w:val="both"/>
      </w:pPr>
    </w:p>
    <w:p w14:paraId="0B3CE0C2" w14:textId="3ECBBE18" w:rsidR="002D47D9" w:rsidRDefault="002D47D9" w:rsidP="002B358B">
      <w:pPr>
        <w:spacing w:line="360" w:lineRule="auto"/>
        <w:jc w:val="both"/>
      </w:pPr>
      <w:r>
        <w:t>Permission is here by granted to Bindura University Education Library to produce single and lend such copies for private, scholarly or scientific research purpose only. The author does not reserve other publication rights and either the project or any extensive extracts from it may be printed or reproduced without the authors’ permission.</w:t>
      </w:r>
    </w:p>
    <w:p w14:paraId="196CF90B" w14:textId="2A7CBDFA" w:rsidR="008567CE" w:rsidRDefault="008567CE" w:rsidP="002B358B">
      <w:pPr>
        <w:spacing w:line="360" w:lineRule="auto"/>
        <w:jc w:val="both"/>
      </w:pPr>
      <w:r>
        <w:rPr>
          <w:noProof/>
        </w:rPr>
        <w:drawing>
          <wp:inline distT="0" distB="0" distL="0" distR="0" wp14:anchorId="64A08DE6" wp14:editId="7E70A909">
            <wp:extent cx="731520" cy="2501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 cy="250190"/>
                    </a:xfrm>
                    <a:prstGeom prst="rect">
                      <a:avLst/>
                    </a:prstGeom>
                    <a:noFill/>
                  </pic:spPr>
                </pic:pic>
              </a:graphicData>
            </a:graphic>
          </wp:inline>
        </w:drawing>
      </w:r>
    </w:p>
    <w:p w14:paraId="1293BEA0" w14:textId="4EEAED68" w:rsidR="002D47D9" w:rsidRDefault="002D47D9" w:rsidP="002B358B">
      <w:pPr>
        <w:spacing w:line="360" w:lineRule="auto"/>
        <w:jc w:val="both"/>
      </w:pPr>
      <w:r>
        <w:t>_____________________________________</w:t>
      </w:r>
    </w:p>
    <w:p w14:paraId="4904ABF5" w14:textId="77777777" w:rsidR="002D47D9" w:rsidRDefault="002D47D9" w:rsidP="002B358B">
      <w:pPr>
        <w:spacing w:line="360" w:lineRule="auto"/>
        <w:jc w:val="both"/>
      </w:pPr>
    </w:p>
    <w:p w14:paraId="5345B9CF" w14:textId="7518DADB" w:rsidR="002D47D9" w:rsidRDefault="002D47D9" w:rsidP="002B358B">
      <w:pPr>
        <w:spacing w:line="360" w:lineRule="auto"/>
        <w:jc w:val="both"/>
      </w:pPr>
      <w:r>
        <w:t xml:space="preserve">Permanent Address: </w:t>
      </w:r>
      <w:r w:rsidR="00B02FA9" w:rsidRPr="001A2FD3">
        <w:rPr>
          <w:u w:val="single"/>
        </w:rPr>
        <w:t>House Number 1045 Rydale Ridge Park Harare</w:t>
      </w:r>
    </w:p>
    <w:p w14:paraId="34F611F1" w14:textId="77777777" w:rsidR="002D47D9" w:rsidRDefault="002D47D9" w:rsidP="002B358B">
      <w:pPr>
        <w:spacing w:line="360" w:lineRule="auto"/>
        <w:jc w:val="both"/>
      </w:pPr>
    </w:p>
    <w:p w14:paraId="5F1B18ED" w14:textId="0C59174D" w:rsidR="002D47D9" w:rsidRDefault="002D47D9" w:rsidP="002B358B">
      <w:pPr>
        <w:spacing w:line="360" w:lineRule="auto"/>
        <w:jc w:val="both"/>
      </w:pPr>
      <w:r>
        <w:t>Date:_</w:t>
      </w:r>
      <w:r w:rsidR="00B02FA9" w:rsidRPr="00B02FA9">
        <w:rPr>
          <w:u w:val="single"/>
        </w:rPr>
        <w:t>3</w:t>
      </w:r>
      <w:r w:rsidR="00B02FA9" w:rsidRPr="00B02FA9">
        <w:rPr>
          <w:u w:val="single"/>
          <w:vertAlign w:val="superscript"/>
        </w:rPr>
        <w:t>rd</w:t>
      </w:r>
      <w:r w:rsidRPr="00B02FA9">
        <w:rPr>
          <w:u w:val="single"/>
        </w:rPr>
        <w:t>/</w:t>
      </w:r>
      <w:r w:rsidR="00B02FA9" w:rsidRPr="00B02FA9">
        <w:rPr>
          <w:u w:val="single"/>
        </w:rPr>
        <w:t xml:space="preserve"> December </w:t>
      </w:r>
      <w:r w:rsidRPr="00B02FA9">
        <w:rPr>
          <w:u w:val="single"/>
        </w:rPr>
        <w:t>/</w:t>
      </w:r>
      <w:r w:rsidR="00B02FA9" w:rsidRPr="00B02FA9">
        <w:rPr>
          <w:u w:val="single"/>
        </w:rPr>
        <w:t xml:space="preserve"> 2025</w:t>
      </w:r>
    </w:p>
    <w:p w14:paraId="2D9815CA" w14:textId="77777777" w:rsidR="002D47D9" w:rsidRDefault="002D47D9" w:rsidP="002B358B">
      <w:pPr>
        <w:spacing w:line="360" w:lineRule="auto"/>
        <w:jc w:val="both"/>
      </w:pPr>
    </w:p>
    <w:p w14:paraId="3E88AA1E" w14:textId="77777777" w:rsidR="002D47D9" w:rsidRDefault="002D47D9" w:rsidP="002B358B">
      <w:pPr>
        <w:spacing w:line="360" w:lineRule="auto"/>
        <w:jc w:val="both"/>
      </w:pPr>
      <w:r>
        <w:t xml:space="preserve">                                                              </w:t>
      </w:r>
    </w:p>
    <w:p w14:paraId="1BF32288" w14:textId="77777777" w:rsidR="002D47D9" w:rsidRDefault="002D47D9" w:rsidP="002B358B">
      <w:pPr>
        <w:spacing w:line="360" w:lineRule="auto"/>
        <w:jc w:val="both"/>
      </w:pPr>
    </w:p>
    <w:p w14:paraId="26F0547B" w14:textId="77777777" w:rsidR="00C42DDC" w:rsidRDefault="00C42DDC" w:rsidP="002B358B">
      <w:pPr>
        <w:spacing w:line="360" w:lineRule="auto"/>
        <w:jc w:val="both"/>
      </w:pPr>
    </w:p>
    <w:p w14:paraId="46E6E239" w14:textId="77777777" w:rsidR="00C42DDC" w:rsidRDefault="00C42DDC" w:rsidP="002B358B">
      <w:pPr>
        <w:spacing w:line="360" w:lineRule="auto"/>
        <w:jc w:val="both"/>
      </w:pPr>
    </w:p>
    <w:p w14:paraId="5C341A4A" w14:textId="77777777" w:rsidR="00C42DDC" w:rsidRDefault="00C42DDC" w:rsidP="002B358B">
      <w:pPr>
        <w:spacing w:line="360" w:lineRule="auto"/>
        <w:jc w:val="both"/>
      </w:pPr>
    </w:p>
    <w:p w14:paraId="4513482B" w14:textId="77777777" w:rsidR="00C42DDC" w:rsidRDefault="00C42DDC" w:rsidP="002B358B">
      <w:pPr>
        <w:spacing w:line="360" w:lineRule="auto"/>
        <w:jc w:val="both"/>
      </w:pPr>
    </w:p>
    <w:p w14:paraId="7F5D3E39" w14:textId="77777777" w:rsidR="00C42DDC" w:rsidRDefault="00C42DDC" w:rsidP="002B358B">
      <w:pPr>
        <w:spacing w:line="360" w:lineRule="auto"/>
        <w:jc w:val="both"/>
      </w:pPr>
    </w:p>
    <w:p w14:paraId="3EF03B94" w14:textId="77777777" w:rsidR="00C42DDC" w:rsidRDefault="00C42DDC" w:rsidP="002B358B">
      <w:pPr>
        <w:spacing w:line="360" w:lineRule="auto"/>
        <w:jc w:val="both"/>
      </w:pPr>
    </w:p>
    <w:p w14:paraId="580FB03F" w14:textId="00BF9EC8" w:rsidR="002D47D9" w:rsidRPr="006C3EB9" w:rsidRDefault="002D47D9" w:rsidP="006C3EB9">
      <w:pPr>
        <w:pStyle w:val="Heading1"/>
        <w:rPr>
          <w:rFonts w:eastAsia="Calibri"/>
        </w:rPr>
      </w:pPr>
      <w:bookmarkStart w:id="4" w:name="_Toc86467248"/>
      <w:bookmarkStart w:id="5" w:name="_Toc103090031"/>
      <w:bookmarkStart w:id="6" w:name="_Toc215652848"/>
      <w:r w:rsidRPr="006C3EB9">
        <w:rPr>
          <w:rFonts w:eastAsia="Calibri"/>
        </w:rPr>
        <w:t>APPROVAL FORM</w:t>
      </w:r>
      <w:bookmarkEnd w:id="4"/>
      <w:bookmarkEnd w:id="5"/>
      <w:bookmarkEnd w:id="6"/>
    </w:p>
    <w:p w14:paraId="6CE944C4" w14:textId="77777777" w:rsidR="002D47D9" w:rsidRDefault="002D47D9" w:rsidP="002B358B">
      <w:pPr>
        <w:spacing w:line="360" w:lineRule="auto"/>
        <w:jc w:val="both"/>
      </w:pPr>
    </w:p>
    <w:p w14:paraId="0F77AD65" w14:textId="26D8E126" w:rsidR="00197F1F" w:rsidRPr="00197F1F" w:rsidRDefault="002D47D9" w:rsidP="00C42DDC">
      <w:pPr>
        <w:spacing w:line="360" w:lineRule="auto"/>
        <w:jc w:val="both"/>
        <w:rPr>
          <w:color w:val="000000" w:themeColor="text1"/>
        </w:rPr>
      </w:pPr>
      <w:r>
        <w:t>The undersigned certify that they have read and recommend to the Bindura University Geography department for acceptance of project entitled, “</w:t>
      </w:r>
      <w:r w:rsidRPr="00BE2000">
        <w:rPr>
          <w:color w:val="000000" w:themeColor="text1"/>
        </w:rPr>
        <w:t>AN ASSESSMENT OF THE IMPACT OF FIRE HAZARDS IN URBAN AREAS. A CASE STUDY OF HARARE CITY</w:t>
      </w:r>
      <w:r>
        <w:t xml:space="preserve">” </w:t>
      </w:r>
      <w:r w:rsidR="00197F1F">
        <w:t>Submitted</w:t>
      </w:r>
      <w:r>
        <w:t xml:space="preserve"> by Chinyowa in partial fulfilment of the requirements for the </w:t>
      </w:r>
      <w:r w:rsidR="00197F1F">
        <w:t>M</w:t>
      </w:r>
      <w:r>
        <w:t xml:space="preserve">.Sc. </w:t>
      </w:r>
      <w:r w:rsidR="00197F1F" w:rsidRPr="00197F1F">
        <w:rPr>
          <w:color w:val="000000" w:themeColor="text1"/>
        </w:rPr>
        <w:t>DEGREE IN DISASTER RISK MANAGEMENT</w:t>
      </w:r>
    </w:p>
    <w:p w14:paraId="05DCAC68" w14:textId="128E41E0" w:rsidR="002D47D9" w:rsidRDefault="009C222E" w:rsidP="00C42DDC">
      <w:pPr>
        <w:tabs>
          <w:tab w:val="left" w:pos="3560"/>
        </w:tabs>
        <w:spacing w:line="360" w:lineRule="auto"/>
        <w:jc w:val="both"/>
      </w:pPr>
      <w:r>
        <w:tab/>
      </w:r>
    </w:p>
    <w:p w14:paraId="7DCED1FE" w14:textId="4DB75BFE" w:rsidR="002D47D9" w:rsidRPr="009C222E" w:rsidRDefault="009C222E" w:rsidP="00C42DDC">
      <w:pPr>
        <w:spacing w:line="360" w:lineRule="auto"/>
        <w:jc w:val="center"/>
        <w:rPr>
          <w:b/>
          <w:u w:val="single"/>
          <w:lang w:val="en-GB"/>
        </w:rPr>
      </w:pPr>
      <w:r w:rsidRPr="009C222E">
        <w:rPr>
          <w:b/>
          <w:u w:val="single"/>
        </w:rPr>
        <w:t>BATSIRAI TAYLOR CHINYOWA</w:t>
      </w:r>
    </w:p>
    <w:p w14:paraId="025AF0AB" w14:textId="36EEA514" w:rsidR="002D47D9" w:rsidRDefault="00197F1F" w:rsidP="00C42DDC">
      <w:pPr>
        <w:spacing w:line="360" w:lineRule="auto"/>
        <w:jc w:val="center"/>
        <w:rPr>
          <w:b/>
        </w:rPr>
      </w:pPr>
      <w:r>
        <w:rPr>
          <w:b/>
        </w:rPr>
        <w:t>Student</w:t>
      </w:r>
    </w:p>
    <w:p w14:paraId="75CF791B" w14:textId="1D739155" w:rsidR="002D47D9" w:rsidRDefault="009C222E" w:rsidP="00C42DDC">
      <w:pPr>
        <w:spacing w:line="360" w:lineRule="auto"/>
        <w:jc w:val="center"/>
        <w:rPr>
          <w:b/>
        </w:rPr>
      </w:pPr>
      <w:r>
        <w:rPr>
          <w:noProof/>
        </w:rPr>
        <w:drawing>
          <wp:inline distT="0" distB="0" distL="0" distR="0" wp14:anchorId="759B2A2A" wp14:editId="5CAD879D">
            <wp:extent cx="731520" cy="250190"/>
            <wp:effectExtent l="0" t="0" r="0" b="0"/>
            <wp:docPr id="180236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 cy="250190"/>
                    </a:xfrm>
                    <a:prstGeom prst="rect">
                      <a:avLst/>
                    </a:prstGeom>
                    <a:noFill/>
                  </pic:spPr>
                </pic:pic>
              </a:graphicData>
            </a:graphic>
          </wp:inline>
        </w:drawing>
      </w:r>
    </w:p>
    <w:p w14:paraId="3365E85D" w14:textId="379B1B22" w:rsidR="002D47D9" w:rsidRPr="009C222E" w:rsidRDefault="009C222E" w:rsidP="00C42DDC">
      <w:pPr>
        <w:spacing w:line="360" w:lineRule="auto"/>
        <w:jc w:val="center"/>
        <w:rPr>
          <w:b/>
          <w:u w:val="single"/>
        </w:rPr>
      </w:pPr>
      <w:r w:rsidRPr="009C222E">
        <w:rPr>
          <w:b/>
          <w:u w:val="single"/>
        </w:rPr>
        <w:t>3</w:t>
      </w:r>
      <w:r w:rsidRPr="009C222E">
        <w:rPr>
          <w:b/>
          <w:u w:val="single"/>
          <w:vertAlign w:val="superscript"/>
        </w:rPr>
        <w:t>RD</w:t>
      </w:r>
      <w:r w:rsidRPr="009C222E">
        <w:rPr>
          <w:b/>
          <w:u w:val="single"/>
        </w:rPr>
        <w:t xml:space="preserve"> December 2025</w:t>
      </w:r>
    </w:p>
    <w:p w14:paraId="67900363" w14:textId="77777777" w:rsidR="002D47D9" w:rsidRDefault="002D47D9" w:rsidP="00C42DDC">
      <w:pPr>
        <w:spacing w:line="360" w:lineRule="auto"/>
        <w:jc w:val="center"/>
        <w:rPr>
          <w:b/>
        </w:rPr>
      </w:pPr>
    </w:p>
    <w:p w14:paraId="7112EC45" w14:textId="18A5CC89" w:rsidR="002D47D9" w:rsidRDefault="002D47D9" w:rsidP="00C42DDC">
      <w:pPr>
        <w:spacing w:line="360" w:lineRule="auto"/>
        <w:jc w:val="center"/>
        <w:rPr>
          <w:b/>
        </w:rPr>
      </w:pPr>
      <w:r>
        <w:rPr>
          <w:b/>
        </w:rPr>
        <w:t>……………………………………………………….</w:t>
      </w:r>
    </w:p>
    <w:p w14:paraId="7DFF0D32" w14:textId="7C3FD018" w:rsidR="002D47D9" w:rsidRDefault="00197F1F" w:rsidP="00C42DDC">
      <w:pPr>
        <w:spacing w:line="360" w:lineRule="auto"/>
        <w:jc w:val="center"/>
        <w:rPr>
          <w:b/>
        </w:rPr>
      </w:pPr>
      <w:r>
        <w:rPr>
          <w:b/>
        </w:rPr>
        <w:t>Supervisor</w:t>
      </w:r>
    </w:p>
    <w:p w14:paraId="0FA867B0" w14:textId="77777777" w:rsidR="00C42DDC" w:rsidRDefault="00C42DDC" w:rsidP="00C42DDC">
      <w:pPr>
        <w:spacing w:line="360" w:lineRule="auto"/>
        <w:jc w:val="center"/>
        <w:rPr>
          <w:b/>
        </w:rPr>
      </w:pPr>
    </w:p>
    <w:p w14:paraId="698DDDB8" w14:textId="77777777" w:rsidR="002D47D9" w:rsidRDefault="002D47D9" w:rsidP="00C42DDC">
      <w:pPr>
        <w:spacing w:line="360" w:lineRule="auto"/>
        <w:jc w:val="center"/>
        <w:rPr>
          <w:b/>
        </w:rPr>
      </w:pPr>
      <w:r>
        <w:rPr>
          <w:b/>
        </w:rPr>
        <w:t>……………………………………………………………</w:t>
      </w:r>
    </w:p>
    <w:p w14:paraId="7D6EB26F" w14:textId="77777777" w:rsidR="002D47D9" w:rsidRDefault="002D47D9" w:rsidP="00C42DDC">
      <w:pPr>
        <w:spacing w:line="360" w:lineRule="auto"/>
        <w:jc w:val="center"/>
        <w:rPr>
          <w:b/>
        </w:rPr>
      </w:pPr>
      <w:r>
        <w:rPr>
          <w:b/>
        </w:rPr>
        <w:t>…………..</w:t>
      </w:r>
    </w:p>
    <w:p w14:paraId="1AC04B68" w14:textId="77777777" w:rsidR="002D47D9" w:rsidRDefault="002D47D9" w:rsidP="00C42DDC">
      <w:pPr>
        <w:spacing w:line="360" w:lineRule="auto"/>
        <w:jc w:val="center"/>
        <w:rPr>
          <w:b/>
        </w:rPr>
      </w:pPr>
      <w:r>
        <w:rPr>
          <w:b/>
        </w:rPr>
        <w:t>DATE</w:t>
      </w:r>
    </w:p>
    <w:p w14:paraId="5E19A1BB" w14:textId="77777777" w:rsidR="002D47D9" w:rsidRDefault="002D47D9" w:rsidP="00C42DDC">
      <w:pPr>
        <w:spacing w:line="360" w:lineRule="auto"/>
        <w:jc w:val="both"/>
        <w:rPr>
          <w:b/>
        </w:rPr>
      </w:pPr>
    </w:p>
    <w:p w14:paraId="185E71AE" w14:textId="77777777" w:rsidR="002D47D9" w:rsidRDefault="002D47D9" w:rsidP="00C42DDC">
      <w:pPr>
        <w:spacing w:line="360" w:lineRule="auto"/>
        <w:jc w:val="both"/>
        <w:rPr>
          <w:b/>
        </w:rPr>
      </w:pPr>
      <w:r>
        <w:rPr>
          <w:b/>
        </w:rPr>
        <w:t xml:space="preserve">                                                </w:t>
      </w:r>
    </w:p>
    <w:p w14:paraId="5FCF4E6A" w14:textId="77777777" w:rsidR="00C42DDC" w:rsidRDefault="00C42DDC" w:rsidP="00C42DDC">
      <w:pPr>
        <w:spacing w:line="360" w:lineRule="auto"/>
        <w:jc w:val="both"/>
        <w:rPr>
          <w:b/>
        </w:rPr>
      </w:pPr>
    </w:p>
    <w:p w14:paraId="351100DC" w14:textId="77777777" w:rsidR="00C42DDC" w:rsidRDefault="00C42DDC" w:rsidP="00C42DDC">
      <w:pPr>
        <w:spacing w:line="360" w:lineRule="auto"/>
        <w:jc w:val="both"/>
        <w:rPr>
          <w:b/>
        </w:rPr>
      </w:pPr>
    </w:p>
    <w:p w14:paraId="7A3BE584" w14:textId="77777777" w:rsidR="002D47D9" w:rsidRDefault="002D47D9" w:rsidP="00C42DDC">
      <w:pPr>
        <w:spacing w:line="360" w:lineRule="auto"/>
        <w:jc w:val="both"/>
        <w:rPr>
          <w:b/>
        </w:rPr>
      </w:pPr>
    </w:p>
    <w:p w14:paraId="66E0F9D4" w14:textId="77777777" w:rsidR="002D47D9" w:rsidRDefault="002D47D9" w:rsidP="00C42DDC">
      <w:pPr>
        <w:spacing w:line="360" w:lineRule="auto"/>
        <w:jc w:val="both"/>
        <w:rPr>
          <w:b/>
        </w:rPr>
      </w:pPr>
    </w:p>
    <w:p w14:paraId="56D509FE" w14:textId="77777777" w:rsidR="002D47D9" w:rsidRDefault="002D47D9" w:rsidP="00C42DDC">
      <w:pPr>
        <w:spacing w:line="360" w:lineRule="auto"/>
        <w:jc w:val="both"/>
        <w:rPr>
          <w:b/>
        </w:rPr>
      </w:pPr>
    </w:p>
    <w:p w14:paraId="45ED4AC3" w14:textId="77777777" w:rsidR="002D47D9" w:rsidRDefault="002D47D9" w:rsidP="002B358B">
      <w:pPr>
        <w:spacing w:line="360" w:lineRule="auto"/>
        <w:jc w:val="both"/>
        <w:rPr>
          <w:b/>
        </w:rPr>
      </w:pPr>
    </w:p>
    <w:p w14:paraId="3B59ED7D" w14:textId="77777777" w:rsidR="002D47D9" w:rsidRDefault="002D47D9" w:rsidP="006C3EB9">
      <w:pPr>
        <w:pStyle w:val="Heading1"/>
      </w:pPr>
      <w:r>
        <w:lastRenderedPageBreak/>
        <w:t xml:space="preserve">                                                        </w:t>
      </w:r>
    </w:p>
    <w:p w14:paraId="03F8954D" w14:textId="371F3523" w:rsidR="002D47D9" w:rsidRPr="006963FC" w:rsidRDefault="002D47D9" w:rsidP="006C3EB9">
      <w:pPr>
        <w:pStyle w:val="Heading1"/>
      </w:pPr>
      <w:bookmarkStart w:id="7" w:name="_Toc103090032"/>
      <w:bookmarkStart w:id="8" w:name="_Toc86467249"/>
      <w:bookmarkStart w:id="9" w:name="_Toc215652849"/>
      <w:r w:rsidRPr="006963FC">
        <w:t>DECLARATION</w:t>
      </w:r>
      <w:bookmarkEnd w:id="7"/>
      <w:bookmarkEnd w:id="8"/>
      <w:bookmarkEnd w:id="9"/>
    </w:p>
    <w:p w14:paraId="728469FC" w14:textId="77777777" w:rsidR="002D47D9" w:rsidRDefault="002D47D9" w:rsidP="002B358B">
      <w:pPr>
        <w:spacing w:line="360" w:lineRule="auto"/>
        <w:jc w:val="both"/>
      </w:pPr>
    </w:p>
    <w:p w14:paraId="5CE2DF88" w14:textId="1A46C9CD" w:rsidR="002D47D9" w:rsidRPr="000657B6" w:rsidRDefault="002D47D9" w:rsidP="000657B6">
      <w:pPr>
        <w:jc w:val="both"/>
        <w:rPr>
          <w:color w:val="000000" w:themeColor="text1"/>
        </w:rPr>
      </w:pPr>
      <w:r>
        <w:t>I, B</w:t>
      </w:r>
      <w:r w:rsidR="001E14BF">
        <w:t>.T</w:t>
      </w:r>
      <w:r>
        <w:t xml:space="preserve"> Chinyowa, Bindura University student, hereby declare that this project is an original work by me in pursuit of satisfying the requirements of a </w:t>
      </w:r>
      <w:r w:rsidR="000657B6" w:rsidRPr="00197F1F">
        <w:rPr>
          <w:color w:val="000000" w:themeColor="text1"/>
        </w:rPr>
        <w:t>DEGREE IN DISASTER RISK MANAGEMENT</w:t>
      </w:r>
      <w:r w:rsidR="000657B6">
        <w:rPr>
          <w:color w:val="000000" w:themeColor="text1"/>
        </w:rPr>
        <w:t>.</w:t>
      </w:r>
      <w:r>
        <w:t>I have not previously submitted it either in part or in its entirety at any other university for a degree.</w:t>
      </w:r>
    </w:p>
    <w:p w14:paraId="06A64F55" w14:textId="77777777" w:rsidR="002D47D9" w:rsidRDefault="002D47D9" w:rsidP="002B358B">
      <w:pPr>
        <w:spacing w:line="360" w:lineRule="auto"/>
        <w:jc w:val="both"/>
      </w:pPr>
    </w:p>
    <w:p w14:paraId="353E2B13" w14:textId="77777777" w:rsidR="002D47D9" w:rsidRDefault="002D47D9" w:rsidP="002B358B">
      <w:pPr>
        <w:spacing w:line="360" w:lineRule="auto"/>
        <w:jc w:val="both"/>
      </w:pPr>
    </w:p>
    <w:p w14:paraId="2D073E69" w14:textId="4CE01D6B" w:rsidR="002D47D9" w:rsidRDefault="009C222E" w:rsidP="002B358B">
      <w:pPr>
        <w:spacing w:line="360" w:lineRule="auto"/>
        <w:jc w:val="both"/>
      </w:pPr>
      <w:r>
        <w:t xml:space="preserve">                                   </w:t>
      </w:r>
    </w:p>
    <w:p w14:paraId="09F21911" w14:textId="3A93805D" w:rsidR="002D47D9" w:rsidRDefault="002D47D9" w:rsidP="002B358B">
      <w:pPr>
        <w:spacing w:line="360" w:lineRule="auto"/>
        <w:jc w:val="both"/>
      </w:pPr>
      <w:r>
        <w:t>Signature__</w:t>
      </w:r>
      <w:r w:rsidR="009C222E" w:rsidRPr="009C222E">
        <w:rPr>
          <w:noProof/>
          <w:u w:val="single"/>
        </w:rPr>
        <w:drawing>
          <wp:inline distT="0" distB="0" distL="0" distR="0" wp14:anchorId="47B045BA" wp14:editId="506FD785">
            <wp:extent cx="731520" cy="25019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 cy="250190"/>
                    </a:xfrm>
                    <a:prstGeom prst="rect">
                      <a:avLst/>
                    </a:prstGeom>
                    <a:noFill/>
                  </pic:spPr>
                </pic:pic>
              </a:graphicData>
            </a:graphic>
          </wp:inline>
        </w:drawing>
      </w:r>
      <w:r w:rsidRPr="009C222E">
        <w:rPr>
          <w:u w:val="single"/>
        </w:rPr>
        <w:t>_</w:t>
      </w:r>
      <w:r>
        <w:t>________________________________________</w:t>
      </w:r>
    </w:p>
    <w:p w14:paraId="27B84944" w14:textId="77777777" w:rsidR="002D47D9" w:rsidRDefault="002D47D9" w:rsidP="002B358B">
      <w:pPr>
        <w:spacing w:line="360" w:lineRule="auto"/>
        <w:jc w:val="both"/>
      </w:pPr>
    </w:p>
    <w:p w14:paraId="63DF6FFF" w14:textId="77777777" w:rsidR="002D47D9" w:rsidRDefault="002D47D9" w:rsidP="002B358B">
      <w:pPr>
        <w:spacing w:line="360" w:lineRule="auto"/>
        <w:jc w:val="both"/>
      </w:pPr>
    </w:p>
    <w:p w14:paraId="0DD86F9E" w14:textId="5CC90530" w:rsidR="002D47D9" w:rsidRDefault="002D47D9" w:rsidP="002B358B">
      <w:pPr>
        <w:spacing w:line="360" w:lineRule="auto"/>
        <w:jc w:val="both"/>
      </w:pPr>
      <w:r>
        <w:t>Date________</w:t>
      </w:r>
      <w:r w:rsidR="009C222E" w:rsidRPr="009C222E">
        <w:rPr>
          <w:u w:val="single"/>
        </w:rPr>
        <w:t>3</w:t>
      </w:r>
      <w:r w:rsidR="009C222E" w:rsidRPr="009C222E">
        <w:rPr>
          <w:u w:val="single"/>
          <w:vertAlign w:val="superscript"/>
        </w:rPr>
        <w:t>rd</w:t>
      </w:r>
      <w:r w:rsidR="009C222E" w:rsidRPr="009C222E">
        <w:rPr>
          <w:u w:val="single"/>
        </w:rPr>
        <w:t xml:space="preserve"> December 2025</w:t>
      </w:r>
      <w:r>
        <w:t>_______________________________</w:t>
      </w:r>
    </w:p>
    <w:p w14:paraId="433EBC0B" w14:textId="77777777" w:rsidR="002D47D9" w:rsidRDefault="002D47D9" w:rsidP="002B358B">
      <w:pPr>
        <w:spacing w:line="360" w:lineRule="auto"/>
        <w:jc w:val="both"/>
      </w:pPr>
    </w:p>
    <w:p w14:paraId="58C0BBF3" w14:textId="77777777" w:rsidR="002D47D9" w:rsidRDefault="002D47D9" w:rsidP="002B358B">
      <w:pPr>
        <w:spacing w:line="360" w:lineRule="auto"/>
        <w:jc w:val="both"/>
      </w:pPr>
    </w:p>
    <w:p w14:paraId="74F73DD4" w14:textId="77777777" w:rsidR="002D47D9" w:rsidRDefault="002D47D9" w:rsidP="002B358B">
      <w:pPr>
        <w:spacing w:after="200" w:line="360" w:lineRule="auto"/>
        <w:jc w:val="both"/>
        <w:rPr>
          <w:rFonts w:eastAsia="Calibri"/>
          <w:b/>
          <w:bCs/>
        </w:rPr>
      </w:pPr>
    </w:p>
    <w:p w14:paraId="4C0BE514" w14:textId="77777777" w:rsidR="002D47D9" w:rsidRDefault="002D47D9" w:rsidP="002B358B">
      <w:pPr>
        <w:spacing w:after="200" w:line="360" w:lineRule="auto"/>
        <w:jc w:val="both"/>
        <w:rPr>
          <w:rFonts w:eastAsia="Calibri"/>
          <w:b/>
          <w:bCs/>
        </w:rPr>
      </w:pPr>
    </w:p>
    <w:p w14:paraId="7F5FFBDD" w14:textId="77777777" w:rsidR="002D47D9" w:rsidRDefault="002D47D9" w:rsidP="002B358B">
      <w:pPr>
        <w:spacing w:after="200" w:line="360" w:lineRule="auto"/>
        <w:jc w:val="both"/>
        <w:rPr>
          <w:rFonts w:eastAsia="Calibri"/>
          <w:b/>
          <w:bCs/>
        </w:rPr>
      </w:pPr>
    </w:p>
    <w:p w14:paraId="204E580E" w14:textId="77777777" w:rsidR="002D47D9" w:rsidRDefault="002D47D9" w:rsidP="002B358B">
      <w:pPr>
        <w:spacing w:after="200" w:line="360" w:lineRule="auto"/>
        <w:jc w:val="both"/>
        <w:rPr>
          <w:rFonts w:eastAsia="Calibri"/>
          <w:b/>
          <w:bCs/>
        </w:rPr>
      </w:pPr>
    </w:p>
    <w:p w14:paraId="7894D3D8" w14:textId="77777777" w:rsidR="002D47D9" w:rsidRDefault="002D47D9" w:rsidP="002B358B">
      <w:pPr>
        <w:spacing w:line="360" w:lineRule="auto"/>
        <w:jc w:val="both"/>
        <w:rPr>
          <w:b/>
        </w:rPr>
      </w:pPr>
      <w:r>
        <w:rPr>
          <w:b/>
        </w:rPr>
        <w:t xml:space="preserve">               </w:t>
      </w:r>
    </w:p>
    <w:p w14:paraId="008FFF9B" w14:textId="77777777" w:rsidR="002D47D9" w:rsidRDefault="002D47D9" w:rsidP="002B358B">
      <w:pPr>
        <w:spacing w:line="360" w:lineRule="auto"/>
        <w:jc w:val="both"/>
        <w:rPr>
          <w:b/>
        </w:rPr>
      </w:pPr>
    </w:p>
    <w:p w14:paraId="2F4D93C8" w14:textId="77777777" w:rsidR="002D47D9" w:rsidRDefault="002D47D9" w:rsidP="002B358B">
      <w:pPr>
        <w:spacing w:line="360" w:lineRule="auto"/>
        <w:jc w:val="both"/>
        <w:rPr>
          <w:b/>
        </w:rPr>
      </w:pPr>
    </w:p>
    <w:p w14:paraId="00252C65" w14:textId="77777777" w:rsidR="00C42DDC" w:rsidRDefault="00C42DDC" w:rsidP="002B358B">
      <w:pPr>
        <w:spacing w:line="360" w:lineRule="auto"/>
        <w:jc w:val="both"/>
        <w:rPr>
          <w:b/>
        </w:rPr>
      </w:pPr>
    </w:p>
    <w:p w14:paraId="772F9DD8" w14:textId="77777777" w:rsidR="00C42DDC" w:rsidRDefault="00C42DDC" w:rsidP="002B358B">
      <w:pPr>
        <w:spacing w:line="360" w:lineRule="auto"/>
        <w:jc w:val="both"/>
        <w:rPr>
          <w:b/>
        </w:rPr>
      </w:pPr>
    </w:p>
    <w:p w14:paraId="7251F31D" w14:textId="77777777" w:rsidR="00C42DDC" w:rsidRDefault="00C42DDC" w:rsidP="002B358B">
      <w:pPr>
        <w:spacing w:line="360" w:lineRule="auto"/>
        <w:jc w:val="both"/>
        <w:rPr>
          <w:b/>
        </w:rPr>
      </w:pPr>
    </w:p>
    <w:p w14:paraId="517C5B6A" w14:textId="65F7CDE9" w:rsidR="002D47D9" w:rsidRPr="006963FC" w:rsidRDefault="002D47D9" w:rsidP="006C3EB9">
      <w:pPr>
        <w:pStyle w:val="Heading1"/>
      </w:pPr>
      <w:bookmarkStart w:id="10" w:name="_Toc86467250"/>
      <w:bookmarkStart w:id="11" w:name="_Toc103090033"/>
      <w:bookmarkStart w:id="12" w:name="_Toc215652850"/>
      <w:r w:rsidRPr="006963FC">
        <w:lastRenderedPageBreak/>
        <w:t>DEDICATION</w:t>
      </w:r>
      <w:bookmarkEnd w:id="10"/>
      <w:bookmarkEnd w:id="11"/>
      <w:bookmarkEnd w:id="12"/>
    </w:p>
    <w:p w14:paraId="272E06D8" w14:textId="5594C010" w:rsidR="0088006D" w:rsidRPr="0088006D" w:rsidRDefault="0088006D" w:rsidP="002B358B">
      <w:pPr>
        <w:spacing w:line="360" w:lineRule="auto"/>
        <w:jc w:val="both"/>
      </w:pPr>
      <w:r w:rsidRPr="0088006D">
        <w:t>This work is lovingly dedicated to my family, whose unwavering support and encouragement sustained me throughout this journey.</w:t>
      </w:r>
    </w:p>
    <w:p w14:paraId="2BC95959" w14:textId="77777777" w:rsidR="0088006D" w:rsidRPr="0088006D" w:rsidRDefault="0088006D" w:rsidP="002B358B">
      <w:pPr>
        <w:spacing w:line="360" w:lineRule="auto"/>
        <w:jc w:val="both"/>
      </w:pPr>
      <w:r w:rsidRPr="0088006D">
        <w:t>To my wife, Talent Chinyowa: your steadfast belief in me, your tireless patience, and your boundless love were the foundation of this pursuit. Your sacrifices, encouragement, and everyday acts of kindness gave me the resilience to persevere, even in challenging moments. I am deeply grateful for your partnership and for sharing this dream with me.</w:t>
      </w:r>
    </w:p>
    <w:p w14:paraId="66756CBE" w14:textId="77777777" w:rsidR="0088006D" w:rsidRPr="0088006D" w:rsidRDefault="0088006D" w:rsidP="002B358B">
      <w:pPr>
        <w:spacing w:line="360" w:lineRule="auto"/>
        <w:jc w:val="both"/>
      </w:pPr>
      <w:r w:rsidRPr="0088006D">
        <w:t>To my sons, Anatswanashe and Tinevimbonashe: may you always chase curiosity with courage, kindness, and integrity. Your laughter, questions, and boundless energy reminded me of what truly matters and inspired me to strive for excellence.</w:t>
      </w:r>
    </w:p>
    <w:p w14:paraId="67956361" w14:textId="34FEDAE8" w:rsidR="002D47D9" w:rsidRDefault="0088006D" w:rsidP="002B358B">
      <w:pPr>
        <w:spacing w:line="360" w:lineRule="auto"/>
        <w:jc w:val="both"/>
      </w:pPr>
      <w:r w:rsidRPr="0088006D">
        <w:t>Thank you all for standing by me, for you</w:t>
      </w:r>
      <w:r w:rsidR="009C222E">
        <w:t>r</w:t>
      </w:r>
      <w:r w:rsidR="00007E23">
        <w:t>, for your faith, and for the joy you bring to my life. This achievement is as much as yours as it is mine.</w:t>
      </w:r>
    </w:p>
    <w:p w14:paraId="2694D6D5" w14:textId="5967B8C8" w:rsidR="002D47D9" w:rsidRDefault="002D47D9" w:rsidP="006C3EB9">
      <w:pPr>
        <w:pStyle w:val="Heading1"/>
      </w:pPr>
      <w:bookmarkStart w:id="13" w:name="_Toc86467251"/>
    </w:p>
    <w:p w14:paraId="7B28AF96" w14:textId="1859CF69" w:rsidR="00FB130A" w:rsidRDefault="00FB130A" w:rsidP="002B358B">
      <w:pPr>
        <w:jc w:val="both"/>
      </w:pPr>
    </w:p>
    <w:p w14:paraId="4876B0DB" w14:textId="772C2ECC" w:rsidR="00FB130A" w:rsidRDefault="00FB130A" w:rsidP="002B358B">
      <w:pPr>
        <w:jc w:val="both"/>
      </w:pPr>
    </w:p>
    <w:p w14:paraId="750C4490" w14:textId="285CD70C" w:rsidR="00FB130A" w:rsidRDefault="00FB130A" w:rsidP="002B358B">
      <w:pPr>
        <w:jc w:val="both"/>
      </w:pPr>
    </w:p>
    <w:p w14:paraId="0CB2B7E9" w14:textId="2A379F16" w:rsidR="00FB130A" w:rsidRDefault="00FB130A" w:rsidP="002B358B">
      <w:pPr>
        <w:jc w:val="both"/>
      </w:pPr>
    </w:p>
    <w:p w14:paraId="7AC8AC21" w14:textId="77777777" w:rsidR="00FB130A" w:rsidRDefault="00FB130A" w:rsidP="002B358B">
      <w:pPr>
        <w:jc w:val="both"/>
      </w:pPr>
    </w:p>
    <w:p w14:paraId="58141623" w14:textId="77777777" w:rsidR="00C42DDC" w:rsidRDefault="00C42DDC" w:rsidP="002B358B">
      <w:pPr>
        <w:jc w:val="both"/>
      </w:pPr>
    </w:p>
    <w:p w14:paraId="3DE8DC22" w14:textId="77777777" w:rsidR="00C42DDC" w:rsidRDefault="00C42DDC" w:rsidP="002B358B">
      <w:pPr>
        <w:jc w:val="both"/>
      </w:pPr>
    </w:p>
    <w:p w14:paraId="7CF75359" w14:textId="77777777" w:rsidR="00C42DDC" w:rsidRDefault="00C42DDC" w:rsidP="002B358B">
      <w:pPr>
        <w:jc w:val="both"/>
      </w:pPr>
    </w:p>
    <w:p w14:paraId="083C19D7" w14:textId="77777777" w:rsidR="00C42DDC" w:rsidRDefault="00C42DDC" w:rsidP="002B358B">
      <w:pPr>
        <w:jc w:val="both"/>
      </w:pPr>
    </w:p>
    <w:p w14:paraId="0F5DD67C" w14:textId="77777777" w:rsidR="00C42DDC" w:rsidRDefault="00C42DDC" w:rsidP="002B358B">
      <w:pPr>
        <w:jc w:val="both"/>
      </w:pPr>
    </w:p>
    <w:p w14:paraId="42E92935" w14:textId="77777777" w:rsidR="00C42DDC" w:rsidRDefault="00C42DDC" w:rsidP="002B358B">
      <w:pPr>
        <w:jc w:val="both"/>
      </w:pPr>
    </w:p>
    <w:p w14:paraId="3E54E6A0" w14:textId="77777777" w:rsidR="00C42DDC" w:rsidRDefault="00C42DDC" w:rsidP="002B358B">
      <w:pPr>
        <w:jc w:val="both"/>
      </w:pPr>
    </w:p>
    <w:p w14:paraId="2E2E4D33" w14:textId="77777777" w:rsidR="00C42DDC" w:rsidRDefault="00C42DDC" w:rsidP="002B358B">
      <w:pPr>
        <w:jc w:val="both"/>
      </w:pPr>
    </w:p>
    <w:p w14:paraId="0ECDF046" w14:textId="77777777" w:rsidR="00C42DDC" w:rsidRDefault="00C42DDC" w:rsidP="002B358B">
      <w:pPr>
        <w:jc w:val="both"/>
      </w:pPr>
    </w:p>
    <w:p w14:paraId="78A49AA2" w14:textId="77777777" w:rsidR="00C42DDC" w:rsidRDefault="00C42DDC" w:rsidP="002B358B">
      <w:pPr>
        <w:jc w:val="both"/>
      </w:pPr>
    </w:p>
    <w:p w14:paraId="23A4DB3F" w14:textId="77777777" w:rsidR="00C42DDC" w:rsidRDefault="00C42DDC" w:rsidP="002B358B">
      <w:pPr>
        <w:jc w:val="both"/>
      </w:pPr>
    </w:p>
    <w:p w14:paraId="453EF3F9" w14:textId="77777777" w:rsidR="00C42DDC" w:rsidRDefault="00C42DDC" w:rsidP="002B358B">
      <w:pPr>
        <w:jc w:val="both"/>
      </w:pPr>
    </w:p>
    <w:p w14:paraId="3575898F" w14:textId="77777777" w:rsidR="00C42DDC" w:rsidRDefault="00C42DDC" w:rsidP="002B358B">
      <w:pPr>
        <w:jc w:val="both"/>
      </w:pPr>
    </w:p>
    <w:p w14:paraId="7564C0CA" w14:textId="77777777" w:rsidR="00C42DDC" w:rsidRDefault="00C42DDC" w:rsidP="002B358B">
      <w:pPr>
        <w:jc w:val="both"/>
      </w:pPr>
    </w:p>
    <w:p w14:paraId="728C6A67" w14:textId="77777777" w:rsidR="00C42DDC" w:rsidRDefault="00C42DDC" w:rsidP="002B358B">
      <w:pPr>
        <w:jc w:val="both"/>
      </w:pPr>
    </w:p>
    <w:p w14:paraId="6FC67766" w14:textId="77777777" w:rsidR="00C42DDC" w:rsidRDefault="00C42DDC" w:rsidP="002B358B">
      <w:pPr>
        <w:jc w:val="both"/>
      </w:pPr>
    </w:p>
    <w:p w14:paraId="4A015434" w14:textId="77777777" w:rsidR="00C42DDC" w:rsidRPr="00FB130A" w:rsidRDefault="00C42DDC" w:rsidP="002B358B">
      <w:pPr>
        <w:jc w:val="both"/>
      </w:pPr>
    </w:p>
    <w:p w14:paraId="37026C97" w14:textId="07F76329" w:rsidR="002D47D9" w:rsidRDefault="002D47D9" w:rsidP="006C3EB9">
      <w:pPr>
        <w:pStyle w:val="Heading1"/>
      </w:pPr>
      <w:bookmarkStart w:id="14" w:name="_Toc103090034"/>
      <w:bookmarkStart w:id="15" w:name="_Toc215652851"/>
      <w:r w:rsidRPr="006B628C">
        <w:lastRenderedPageBreak/>
        <w:t>ABSTRACT</w:t>
      </w:r>
      <w:bookmarkEnd w:id="13"/>
      <w:bookmarkEnd w:id="14"/>
      <w:bookmarkEnd w:id="15"/>
    </w:p>
    <w:p w14:paraId="38A3C76E" w14:textId="550A1975" w:rsidR="00FB130A" w:rsidRDefault="00FB130A" w:rsidP="002B358B">
      <w:pPr>
        <w:jc w:val="both"/>
      </w:pPr>
      <w:r w:rsidRPr="00FB130A">
        <w:t xml:space="preserve">The study aimed to assess the causes, frequency, impacts, and management of urban fire hazards in Harare City in order to inform effective policy and resilience strategies. Urban fires in Harare have increased in scale and complexity, affecting residential, commercial, industrial, market, dumpsite, veld, and home-industry environments, yet empirical evidence guiding prevention and response remains limited. To address this problem, the research adopted a mixed-methods convergent design, integrating quantitative fire-incident data with qualitative insights from community members, fire officials, planners, and local leaders. Quantitative data were obtained from official records and structured surveys and analysed using descriptive and inferential statistics </w:t>
      </w:r>
      <w:r w:rsidR="00872658">
        <w:t>were also used</w:t>
      </w:r>
      <w:r w:rsidRPr="00FB130A">
        <w:t xml:space="preserve">. Qualitative data from interviews, focus groups, and field observations were thematically analysed to uncover </w:t>
      </w:r>
      <w:r w:rsidR="00FA1C73" w:rsidRPr="00FB130A">
        <w:t>behavioural</w:t>
      </w:r>
      <w:r w:rsidRPr="00FB130A">
        <w:t xml:space="preserve">, institutional, and policy-related drivers of fire risk. Results showed that fire incidents are increasing across most categories, with veld, domestic, and commercial fires contributing the largest share of reported cases. Key drivers included electrical faults, illegal settlements, inadequate infrastructure maintenance, waste mismanagement, human negligence, and limited enforcement of fire safety regulations. Impacts extended beyond property destruction to include disruptions to livelihoods, weakened social cohesion, environmental degradation, and heightened vulnerability among informal urban populations. The study concludes that urban fire risk in Harare is shaped by </w:t>
      </w:r>
      <w:r w:rsidR="0088006D" w:rsidRPr="00FB130A">
        <w:t>interacting with</w:t>
      </w:r>
      <w:r w:rsidRPr="00FB130A">
        <w:t xml:space="preserve"> socio-economic, infrastructural, and governance factors, and that current prevention and response systems remain insufficient. It recommends strengthening community awareness, enforcing safety standards, improving waste management, upgrading fire-fighting capacity, and integrating geospatial monitoring into municipal risk-management strategies.</w:t>
      </w:r>
    </w:p>
    <w:p w14:paraId="0134F1D4" w14:textId="77777777" w:rsidR="00872658" w:rsidRDefault="00872658" w:rsidP="002B358B">
      <w:pPr>
        <w:jc w:val="both"/>
      </w:pPr>
    </w:p>
    <w:p w14:paraId="6D3EF14E" w14:textId="2260FB34" w:rsidR="00872658" w:rsidRPr="00FB130A" w:rsidRDefault="00872658" w:rsidP="002B358B">
      <w:pPr>
        <w:jc w:val="both"/>
      </w:pPr>
      <w:r>
        <w:t>Keywords: city, fire, urban, resilience, livelihoods, degradation</w:t>
      </w:r>
    </w:p>
    <w:p w14:paraId="42DEEE89" w14:textId="77777777" w:rsidR="002D47D9" w:rsidRDefault="002D47D9" w:rsidP="002B358B">
      <w:pPr>
        <w:jc w:val="both"/>
      </w:pPr>
    </w:p>
    <w:p w14:paraId="252635F0" w14:textId="77777777" w:rsidR="00FB130A" w:rsidRDefault="00FB130A" w:rsidP="006C3EB9">
      <w:pPr>
        <w:pStyle w:val="Heading1"/>
      </w:pPr>
      <w:bookmarkStart w:id="16" w:name="_Toc103090035"/>
      <w:bookmarkStart w:id="17" w:name="_Toc86467252"/>
      <w:bookmarkStart w:id="18" w:name="_Toc215652852"/>
    </w:p>
    <w:p w14:paraId="54AEC4F3" w14:textId="77777777" w:rsidR="00FB130A" w:rsidRDefault="00FB130A" w:rsidP="006C3EB9">
      <w:pPr>
        <w:pStyle w:val="Heading1"/>
      </w:pPr>
    </w:p>
    <w:p w14:paraId="2AC45FBB" w14:textId="77777777" w:rsidR="0088006D" w:rsidRDefault="0088006D" w:rsidP="002B358B">
      <w:pPr>
        <w:jc w:val="both"/>
      </w:pPr>
    </w:p>
    <w:p w14:paraId="74DD2C3C" w14:textId="77777777" w:rsidR="0088006D" w:rsidRDefault="0088006D" w:rsidP="002B358B">
      <w:pPr>
        <w:jc w:val="both"/>
      </w:pPr>
    </w:p>
    <w:p w14:paraId="13355718" w14:textId="77777777" w:rsidR="0088006D" w:rsidRDefault="0088006D" w:rsidP="002B358B">
      <w:pPr>
        <w:jc w:val="both"/>
      </w:pPr>
    </w:p>
    <w:p w14:paraId="3C72432B" w14:textId="77777777" w:rsidR="0088006D" w:rsidRDefault="0088006D" w:rsidP="002B358B">
      <w:pPr>
        <w:jc w:val="both"/>
      </w:pPr>
    </w:p>
    <w:p w14:paraId="5A48832A" w14:textId="77777777" w:rsidR="00FA1C73" w:rsidRDefault="00FA1C73" w:rsidP="002B358B">
      <w:pPr>
        <w:jc w:val="both"/>
      </w:pPr>
    </w:p>
    <w:p w14:paraId="702BE822" w14:textId="77777777" w:rsidR="00FA1C73" w:rsidRDefault="00FA1C73" w:rsidP="002B358B">
      <w:pPr>
        <w:jc w:val="both"/>
      </w:pPr>
    </w:p>
    <w:p w14:paraId="31CFDE52" w14:textId="77777777" w:rsidR="00FA1C73" w:rsidRDefault="00FA1C73" w:rsidP="002B358B">
      <w:pPr>
        <w:jc w:val="both"/>
      </w:pPr>
    </w:p>
    <w:p w14:paraId="1E563312" w14:textId="77777777" w:rsidR="0088006D" w:rsidRDefault="0088006D" w:rsidP="002B358B">
      <w:pPr>
        <w:jc w:val="both"/>
      </w:pPr>
    </w:p>
    <w:p w14:paraId="3F31F52E" w14:textId="77777777" w:rsidR="0088006D" w:rsidRPr="0088006D" w:rsidRDefault="0088006D" w:rsidP="002B358B">
      <w:pPr>
        <w:jc w:val="both"/>
      </w:pPr>
    </w:p>
    <w:p w14:paraId="7D71C5D9" w14:textId="71D6B370" w:rsidR="002D47D9" w:rsidRDefault="002D47D9" w:rsidP="006C3EB9">
      <w:pPr>
        <w:pStyle w:val="Heading1"/>
      </w:pPr>
      <w:r>
        <w:lastRenderedPageBreak/>
        <w:t>ACKNOWLEDGEMENTS</w:t>
      </w:r>
      <w:bookmarkEnd w:id="16"/>
      <w:bookmarkEnd w:id="17"/>
      <w:bookmarkEnd w:id="18"/>
    </w:p>
    <w:p w14:paraId="10C00BFF" w14:textId="77777777" w:rsidR="002D47D9" w:rsidRDefault="002D47D9" w:rsidP="006C3EB9">
      <w:pPr>
        <w:pStyle w:val="Heading1"/>
        <w:rPr>
          <w:rFonts w:eastAsia="Calibri"/>
        </w:rPr>
      </w:pPr>
    </w:p>
    <w:p w14:paraId="3298FA59" w14:textId="2EFEE658" w:rsidR="002D47D9" w:rsidRDefault="00B363FF" w:rsidP="002B358B">
      <w:pPr>
        <w:spacing w:line="360" w:lineRule="auto"/>
        <w:jc w:val="both"/>
      </w:pPr>
      <w:r>
        <w:t>Firstly,</w:t>
      </w:r>
      <w:r w:rsidR="002D47D9">
        <w:t xml:space="preserve"> I would like to thank the Lord for giving me strength and good health to finish my programme, without His guidance I would not have done this. I would </w:t>
      </w:r>
      <w:r>
        <w:t>like</w:t>
      </w:r>
      <w:r w:rsidR="002D47D9">
        <w:t xml:space="preserve"> also to thank my supervisor for literally walking with me from the start of the research topic through all the stages until the day of completion. The journey was indeed difficult and painful but </w:t>
      </w:r>
      <w:r w:rsidR="001E14BF">
        <w:t>his</w:t>
      </w:r>
      <w:r w:rsidR="002D47D9">
        <w:t xml:space="preserve"> patience, persistent demand for high quality, standards and support took me to the end.  Thank you, my team, love you all and God bless you.</w:t>
      </w:r>
    </w:p>
    <w:p w14:paraId="67B4DD5D" w14:textId="35C60BEC" w:rsidR="00FB130A" w:rsidRDefault="00FB130A" w:rsidP="002B358B">
      <w:pPr>
        <w:spacing w:line="360" w:lineRule="auto"/>
        <w:jc w:val="both"/>
      </w:pPr>
    </w:p>
    <w:p w14:paraId="09C41FA6" w14:textId="53528A57" w:rsidR="00FB130A" w:rsidRDefault="00FB130A" w:rsidP="002B358B">
      <w:pPr>
        <w:spacing w:line="360" w:lineRule="auto"/>
        <w:jc w:val="both"/>
      </w:pPr>
    </w:p>
    <w:p w14:paraId="20922045" w14:textId="466AB689" w:rsidR="00FB130A" w:rsidRDefault="00FB130A" w:rsidP="002B358B">
      <w:pPr>
        <w:spacing w:line="360" w:lineRule="auto"/>
        <w:jc w:val="both"/>
      </w:pPr>
    </w:p>
    <w:p w14:paraId="06E973A0" w14:textId="4D2AED6F" w:rsidR="00FB130A" w:rsidRDefault="00FB130A" w:rsidP="002B358B">
      <w:pPr>
        <w:spacing w:line="360" w:lineRule="auto"/>
        <w:jc w:val="both"/>
      </w:pPr>
    </w:p>
    <w:p w14:paraId="02E3AAAC" w14:textId="2C657F04" w:rsidR="00FB130A" w:rsidRDefault="00FB130A" w:rsidP="002B358B">
      <w:pPr>
        <w:spacing w:line="360" w:lineRule="auto"/>
        <w:jc w:val="both"/>
      </w:pPr>
    </w:p>
    <w:p w14:paraId="4CC6897B" w14:textId="2043C6C8" w:rsidR="00FB130A" w:rsidRDefault="00FB130A" w:rsidP="002B358B">
      <w:pPr>
        <w:spacing w:line="360" w:lineRule="auto"/>
        <w:jc w:val="both"/>
      </w:pPr>
    </w:p>
    <w:p w14:paraId="632DBBD9" w14:textId="2C71FDA2" w:rsidR="00FB130A" w:rsidRDefault="00FB130A" w:rsidP="002B358B">
      <w:pPr>
        <w:spacing w:line="360" w:lineRule="auto"/>
        <w:jc w:val="both"/>
      </w:pPr>
    </w:p>
    <w:p w14:paraId="2C1BFCE1" w14:textId="77777777" w:rsidR="00FB130A" w:rsidRDefault="00FB130A" w:rsidP="002B358B">
      <w:pPr>
        <w:spacing w:line="360" w:lineRule="auto"/>
        <w:jc w:val="both"/>
      </w:pPr>
    </w:p>
    <w:p w14:paraId="6CC0B4C5" w14:textId="77777777" w:rsidR="00B363FF" w:rsidRDefault="00B363FF" w:rsidP="002B358B">
      <w:pPr>
        <w:spacing w:line="360" w:lineRule="auto"/>
        <w:jc w:val="both"/>
      </w:pPr>
    </w:p>
    <w:p w14:paraId="39D1A740" w14:textId="77777777" w:rsidR="00B363FF" w:rsidRDefault="00B363FF" w:rsidP="002B358B">
      <w:pPr>
        <w:spacing w:line="360" w:lineRule="auto"/>
        <w:jc w:val="both"/>
      </w:pPr>
    </w:p>
    <w:p w14:paraId="62F5DE45" w14:textId="77777777" w:rsidR="00FA1C73" w:rsidRDefault="00FA1C73" w:rsidP="002B358B">
      <w:pPr>
        <w:spacing w:line="360" w:lineRule="auto"/>
        <w:jc w:val="both"/>
      </w:pPr>
    </w:p>
    <w:p w14:paraId="42D4B898" w14:textId="77777777" w:rsidR="00FA1C73" w:rsidRDefault="00FA1C73" w:rsidP="002B358B">
      <w:pPr>
        <w:spacing w:line="360" w:lineRule="auto"/>
        <w:jc w:val="both"/>
      </w:pPr>
    </w:p>
    <w:p w14:paraId="0BEE7B34" w14:textId="77777777" w:rsidR="00FA1C73" w:rsidRDefault="00FA1C73" w:rsidP="002B358B">
      <w:pPr>
        <w:spacing w:line="360" w:lineRule="auto"/>
        <w:jc w:val="both"/>
      </w:pPr>
    </w:p>
    <w:p w14:paraId="332E1FB7" w14:textId="77777777" w:rsidR="00FA1C73" w:rsidRDefault="00FA1C73" w:rsidP="002B358B">
      <w:pPr>
        <w:spacing w:line="360" w:lineRule="auto"/>
        <w:jc w:val="both"/>
      </w:pPr>
    </w:p>
    <w:p w14:paraId="4D46C258" w14:textId="77777777" w:rsidR="00FA1C73" w:rsidRDefault="00FA1C73" w:rsidP="002B358B">
      <w:pPr>
        <w:spacing w:line="360" w:lineRule="auto"/>
        <w:jc w:val="both"/>
      </w:pPr>
    </w:p>
    <w:p w14:paraId="7982E513" w14:textId="77777777" w:rsidR="00FA1C73" w:rsidRDefault="00FA1C73" w:rsidP="002B358B">
      <w:pPr>
        <w:spacing w:line="360" w:lineRule="auto"/>
        <w:jc w:val="both"/>
      </w:pPr>
    </w:p>
    <w:p w14:paraId="2E0DD482" w14:textId="77777777" w:rsidR="00FA1C73" w:rsidRDefault="00FA1C73" w:rsidP="002B358B">
      <w:pPr>
        <w:spacing w:line="360" w:lineRule="auto"/>
        <w:jc w:val="both"/>
      </w:pPr>
    </w:p>
    <w:p w14:paraId="4A562F2B" w14:textId="77777777" w:rsidR="00FA1C73" w:rsidRDefault="00FA1C73" w:rsidP="002B358B">
      <w:pPr>
        <w:spacing w:line="360" w:lineRule="auto"/>
        <w:jc w:val="both"/>
      </w:pPr>
    </w:p>
    <w:p w14:paraId="02AF9554" w14:textId="77777777" w:rsidR="00FA1C73" w:rsidRDefault="00FA1C73" w:rsidP="002B358B">
      <w:pPr>
        <w:spacing w:line="360" w:lineRule="auto"/>
        <w:jc w:val="both"/>
      </w:pPr>
    </w:p>
    <w:p w14:paraId="3E791D22" w14:textId="77777777" w:rsidR="00FA1C73" w:rsidRDefault="00FA1C73" w:rsidP="002B358B">
      <w:pPr>
        <w:spacing w:line="360" w:lineRule="auto"/>
        <w:jc w:val="both"/>
      </w:pPr>
    </w:p>
    <w:p w14:paraId="3C40E579" w14:textId="4685CE1A" w:rsidR="007543E4" w:rsidRDefault="007543E4" w:rsidP="002B358B">
      <w:pPr>
        <w:spacing w:line="360" w:lineRule="auto"/>
        <w:jc w:val="both"/>
      </w:pPr>
    </w:p>
    <w:sdt>
      <w:sdtPr>
        <w:rPr>
          <w:rFonts w:asciiTheme="minorHAnsi" w:eastAsiaTheme="minorHAnsi" w:hAnsiTheme="minorHAnsi" w:cstheme="minorBidi"/>
          <w:color w:val="auto"/>
          <w:kern w:val="2"/>
          <w:sz w:val="24"/>
          <w:szCs w:val="24"/>
          <w:lang w:val="en-ZW" w:eastAsia="en-ZW"/>
          <w14:ligatures w14:val="standardContextual"/>
        </w:rPr>
        <w:id w:val="1476411686"/>
        <w:docPartObj>
          <w:docPartGallery w:val="Table of Contents"/>
          <w:docPartUnique/>
        </w:docPartObj>
      </w:sdtPr>
      <w:sdtEndPr>
        <w:rPr>
          <w:rFonts w:ascii="Times New Roman" w:eastAsia="Times New Roman" w:hAnsi="Times New Roman" w:cs="Times New Roman"/>
          <w:b/>
          <w:bCs/>
          <w:noProof/>
          <w:kern w:val="0"/>
          <w14:ligatures w14:val="none"/>
        </w:rPr>
      </w:sdtEndPr>
      <w:sdtContent>
        <w:p w14:paraId="08A38361" w14:textId="1CBF7FC8" w:rsidR="005C1C7A" w:rsidRDefault="005C1C7A" w:rsidP="006C3EB9">
          <w:pPr>
            <w:pStyle w:val="TOCHeading"/>
          </w:pPr>
          <w:r>
            <w:t>Table of Contents</w:t>
          </w:r>
        </w:p>
        <w:p w14:paraId="32DC1AA0" w14:textId="27665050" w:rsidR="005C1C7A" w:rsidRDefault="005C1C7A" w:rsidP="002B358B">
          <w:pPr>
            <w:pStyle w:val="TOC1"/>
            <w:tabs>
              <w:tab w:val="right" w:leader="dot" w:pos="9350"/>
            </w:tabs>
            <w:jc w:val="both"/>
            <w:rPr>
              <w:rFonts w:eastAsiaTheme="minorEastAsia"/>
              <w:noProof/>
              <w:kern w:val="0"/>
              <w:sz w:val="22"/>
              <w:szCs w:val="22"/>
              <w:lang w:val="en-GB" w:eastAsia="en-GB"/>
              <w14:ligatures w14:val="none"/>
            </w:rPr>
          </w:pPr>
          <w:r>
            <w:fldChar w:fldCharType="begin"/>
          </w:r>
          <w:r>
            <w:instrText xml:space="preserve"> TOC \o "1-3" \h \z \u </w:instrText>
          </w:r>
          <w:r>
            <w:fldChar w:fldCharType="separate"/>
          </w:r>
          <w:hyperlink w:anchor="_Toc215652847" w:history="1">
            <w:r w:rsidRPr="0012720B">
              <w:rPr>
                <w:rStyle w:val="Hyperlink"/>
                <w:rFonts w:eastAsia="Calibri"/>
                <w:noProof/>
              </w:rPr>
              <w:t>RELEASE FORM</w:t>
            </w:r>
            <w:r>
              <w:rPr>
                <w:noProof/>
                <w:webHidden/>
              </w:rPr>
              <w:tab/>
            </w:r>
            <w:r>
              <w:rPr>
                <w:noProof/>
                <w:webHidden/>
              </w:rPr>
              <w:fldChar w:fldCharType="begin"/>
            </w:r>
            <w:r>
              <w:rPr>
                <w:noProof/>
                <w:webHidden/>
              </w:rPr>
              <w:instrText xml:space="preserve"> PAGEREF _Toc215652847 \h </w:instrText>
            </w:r>
            <w:r>
              <w:rPr>
                <w:noProof/>
                <w:webHidden/>
              </w:rPr>
            </w:r>
            <w:r>
              <w:rPr>
                <w:noProof/>
                <w:webHidden/>
              </w:rPr>
              <w:fldChar w:fldCharType="separate"/>
            </w:r>
            <w:r>
              <w:rPr>
                <w:noProof/>
                <w:webHidden/>
              </w:rPr>
              <w:t>ii</w:t>
            </w:r>
            <w:r>
              <w:rPr>
                <w:noProof/>
                <w:webHidden/>
              </w:rPr>
              <w:fldChar w:fldCharType="end"/>
            </w:r>
          </w:hyperlink>
        </w:p>
        <w:p w14:paraId="40F64CC8" w14:textId="2DC52E7D"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48" w:history="1">
            <w:r w:rsidR="005C1C7A" w:rsidRPr="0012720B">
              <w:rPr>
                <w:rStyle w:val="Hyperlink"/>
                <w:rFonts w:eastAsia="Calibri"/>
                <w:noProof/>
              </w:rPr>
              <w:t>APPROVAL FORM</w:t>
            </w:r>
            <w:r w:rsidR="005C1C7A">
              <w:rPr>
                <w:noProof/>
                <w:webHidden/>
              </w:rPr>
              <w:tab/>
            </w:r>
            <w:r w:rsidR="005C1C7A">
              <w:rPr>
                <w:noProof/>
                <w:webHidden/>
              </w:rPr>
              <w:fldChar w:fldCharType="begin"/>
            </w:r>
            <w:r w:rsidR="005C1C7A">
              <w:rPr>
                <w:noProof/>
                <w:webHidden/>
              </w:rPr>
              <w:instrText xml:space="preserve"> PAGEREF _Toc215652848 \h </w:instrText>
            </w:r>
            <w:r w:rsidR="005C1C7A">
              <w:rPr>
                <w:noProof/>
                <w:webHidden/>
              </w:rPr>
            </w:r>
            <w:r w:rsidR="005C1C7A">
              <w:rPr>
                <w:noProof/>
                <w:webHidden/>
              </w:rPr>
              <w:fldChar w:fldCharType="separate"/>
            </w:r>
            <w:r w:rsidR="005C1C7A">
              <w:rPr>
                <w:noProof/>
                <w:webHidden/>
              </w:rPr>
              <w:t>iii</w:t>
            </w:r>
            <w:r w:rsidR="005C1C7A">
              <w:rPr>
                <w:noProof/>
                <w:webHidden/>
              </w:rPr>
              <w:fldChar w:fldCharType="end"/>
            </w:r>
          </w:hyperlink>
        </w:p>
        <w:p w14:paraId="43EC7AA2" w14:textId="1463AB71"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49" w:history="1">
            <w:r w:rsidR="005C1C7A" w:rsidRPr="0012720B">
              <w:rPr>
                <w:rStyle w:val="Hyperlink"/>
                <w:noProof/>
              </w:rPr>
              <w:t>DECLARATION</w:t>
            </w:r>
            <w:r w:rsidR="005C1C7A">
              <w:rPr>
                <w:noProof/>
                <w:webHidden/>
              </w:rPr>
              <w:tab/>
            </w:r>
            <w:r w:rsidR="005C1C7A">
              <w:rPr>
                <w:noProof/>
                <w:webHidden/>
              </w:rPr>
              <w:fldChar w:fldCharType="begin"/>
            </w:r>
            <w:r w:rsidR="005C1C7A">
              <w:rPr>
                <w:noProof/>
                <w:webHidden/>
              </w:rPr>
              <w:instrText xml:space="preserve"> PAGEREF _Toc215652849 \h </w:instrText>
            </w:r>
            <w:r w:rsidR="005C1C7A">
              <w:rPr>
                <w:noProof/>
                <w:webHidden/>
              </w:rPr>
            </w:r>
            <w:r w:rsidR="005C1C7A">
              <w:rPr>
                <w:noProof/>
                <w:webHidden/>
              </w:rPr>
              <w:fldChar w:fldCharType="separate"/>
            </w:r>
            <w:r w:rsidR="005C1C7A">
              <w:rPr>
                <w:noProof/>
                <w:webHidden/>
              </w:rPr>
              <w:t>iv</w:t>
            </w:r>
            <w:r w:rsidR="005C1C7A">
              <w:rPr>
                <w:noProof/>
                <w:webHidden/>
              </w:rPr>
              <w:fldChar w:fldCharType="end"/>
            </w:r>
          </w:hyperlink>
        </w:p>
        <w:p w14:paraId="62297ADB" w14:textId="3135F12A"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50" w:history="1">
            <w:r w:rsidR="005C1C7A" w:rsidRPr="0012720B">
              <w:rPr>
                <w:rStyle w:val="Hyperlink"/>
                <w:noProof/>
              </w:rPr>
              <w:t>DEDICATION</w:t>
            </w:r>
            <w:r w:rsidR="005C1C7A">
              <w:rPr>
                <w:noProof/>
                <w:webHidden/>
              </w:rPr>
              <w:tab/>
            </w:r>
            <w:r w:rsidR="005C1C7A">
              <w:rPr>
                <w:noProof/>
                <w:webHidden/>
              </w:rPr>
              <w:fldChar w:fldCharType="begin"/>
            </w:r>
            <w:r w:rsidR="005C1C7A">
              <w:rPr>
                <w:noProof/>
                <w:webHidden/>
              </w:rPr>
              <w:instrText xml:space="preserve"> PAGEREF _Toc215652850 \h </w:instrText>
            </w:r>
            <w:r w:rsidR="005C1C7A">
              <w:rPr>
                <w:noProof/>
                <w:webHidden/>
              </w:rPr>
            </w:r>
            <w:r w:rsidR="005C1C7A">
              <w:rPr>
                <w:noProof/>
                <w:webHidden/>
              </w:rPr>
              <w:fldChar w:fldCharType="separate"/>
            </w:r>
            <w:r w:rsidR="005C1C7A">
              <w:rPr>
                <w:noProof/>
                <w:webHidden/>
              </w:rPr>
              <w:t>vi</w:t>
            </w:r>
            <w:r w:rsidR="005C1C7A">
              <w:rPr>
                <w:noProof/>
                <w:webHidden/>
              </w:rPr>
              <w:fldChar w:fldCharType="end"/>
            </w:r>
          </w:hyperlink>
        </w:p>
        <w:p w14:paraId="6C5B13E0" w14:textId="67421456"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51" w:history="1">
            <w:r w:rsidR="005C1C7A" w:rsidRPr="0012720B">
              <w:rPr>
                <w:rStyle w:val="Hyperlink"/>
                <w:noProof/>
              </w:rPr>
              <w:t>ABSTRACT</w:t>
            </w:r>
            <w:r w:rsidR="005C1C7A">
              <w:rPr>
                <w:noProof/>
                <w:webHidden/>
              </w:rPr>
              <w:tab/>
            </w:r>
            <w:r w:rsidR="005C1C7A">
              <w:rPr>
                <w:noProof/>
                <w:webHidden/>
              </w:rPr>
              <w:fldChar w:fldCharType="begin"/>
            </w:r>
            <w:r w:rsidR="005C1C7A">
              <w:rPr>
                <w:noProof/>
                <w:webHidden/>
              </w:rPr>
              <w:instrText xml:space="preserve"> PAGEREF _Toc215652851 \h </w:instrText>
            </w:r>
            <w:r w:rsidR="005C1C7A">
              <w:rPr>
                <w:noProof/>
                <w:webHidden/>
              </w:rPr>
            </w:r>
            <w:r w:rsidR="005C1C7A">
              <w:rPr>
                <w:noProof/>
                <w:webHidden/>
              </w:rPr>
              <w:fldChar w:fldCharType="separate"/>
            </w:r>
            <w:r w:rsidR="005C1C7A">
              <w:rPr>
                <w:noProof/>
                <w:webHidden/>
              </w:rPr>
              <w:t>vi</w:t>
            </w:r>
            <w:r w:rsidR="005C1C7A">
              <w:rPr>
                <w:noProof/>
                <w:webHidden/>
              </w:rPr>
              <w:fldChar w:fldCharType="end"/>
            </w:r>
          </w:hyperlink>
        </w:p>
        <w:p w14:paraId="7D165CED" w14:textId="26C80A3D"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52" w:history="1">
            <w:r w:rsidR="005C1C7A" w:rsidRPr="0012720B">
              <w:rPr>
                <w:rStyle w:val="Hyperlink"/>
                <w:rFonts w:cs="Times New Roman"/>
                <w:noProof/>
              </w:rPr>
              <w:t>ACKNOWLEDGEMENTS</w:t>
            </w:r>
            <w:r w:rsidR="005C1C7A">
              <w:rPr>
                <w:noProof/>
                <w:webHidden/>
              </w:rPr>
              <w:tab/>
            </w:r>
            <w:r w:rsidR="005C1C7A">
              <w:rPr>
                <w:noProof/>
                <w:webHidden/>
              </w:rPr>
              <w:fldChar w:fldCharType="begin"/>
            </w:r>
            <w:r w:rsidR="005C1C7A">
              <w:rPr>
                <w:noProof/>
                <w:webHidden/>
              </w:rPr>
              <w:instrText xml:space="preserve"> PAGEREF _Toc215652852 \h </w:instrText>
            </w:r>
            <w:r w:rsidR="005C1C7A">
              <w:rPr>
                <w:noProof/>
                <w:webHidden/>
              </w:rPr>
            </w:r>
            <w:r w:rsidR="005C1C7A">
              <w:rPr>
                <w:noProof/>
                <w:webHidden/>
              </w:rPr>
              <w:fldChar w:fldCharType="separate"/>
            </w:r>
            <w:r w:rsidR="005C1C7A">
              <w:rPr>
                <w:noProof/>
                <w:webHidden/>
              </w:rPr>
              <w:t>vi</w:t>
            </w:r>
            <w:r w:rsidR="005C1C7A">
              <w:rPr>
                <w:noProof/>
                <w:webHidden/>
              </w:rPr>
              <w:fldChar w:fldCharType="end"/>
            </w:r>
          </w:hyperlink>
        </w:p>
        <w:p w14:paraId="5DF7E74F" w14:textId="5C3FD1C9"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53" w:history="1">
            <w:r w:rsidR="005C1C7A" w:rsidRPr="0012720B">
              <w:rPr>
                <w:rStyle w:val="Hyperlink"/>
                <w:noProof/>
              </w:rPr>
              <w:t>CHAPTER 1 Introduction</w:t>
            </w:r>
            <w:r w:rsidR="005C1C7A">
              <w:rPr>
                <w:noProof/>
                <w:webHidden/>
              </w:rPr>
              <w:tab/>
            </w:r>
            <w:r w:rsidR="005C1C7A">
              <w:rPr>
                <w:noProof/>
                <w:webHidden/>
              </w:rPr>
              <w:fldChar w:fldCharType="begin"/>
            </w:r>
            <w:r w:rsidR="005C1C7A">
              <w:rPr>
                <w:noProof/>
                <w:webHidden/>
              </w:rPr>
              <w:instrText xml:space="preserve"> PAGEREF _Toc215652853 \h </w:instrText>
            </w:r>
            <w:r w:rsidR="005C1C7A">
              <w:rPr>
                <w:noProof/>
                <w:webHidden/>
              </w:rPr>
            </w:r>
            <w:r w:rsidR="005C1C7A">
              <w:rPr>
                <w:noProof/>
                <w:webHidden/>
              </w:rPr>
              <w:fldChar w:fldCharType="separate"/>
            </w:r>
            <w:r w:rsidR="005C1C7A">
              <w:rPr>
                <w:noProof/>
                <w:webHidden/>
              </w:rPr>
              <w:t>1</w:t>
            </w:r>
            <w:r w:rsidR="005C1C7A">
              <w:rPr>
                <w:noProof/>
                <w:webHidden/>
              </w:rPr>
              <w:fldChar w:fldCharType="end"/>
            </w:r>
          </w:hyperlink>
        </w:p>
        <w:p w14:paraId="0A719B3E" w14:textId="6F096819"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54" w:history="1">
            <w:r w:rsidR="005C1C7A" w:rsidRPr="0012720B">
              <w:rPr>
                <w:rStyle w:val="Hyperlink"/>
                <w:rFonts w:eastAsia="Times New Roman"/>
                <w:noProof/>
                <w:lang w:val="en-GB"/>
              </w:rPr>
              <w:t>1.1 Introduction</w:t>
            </w:r>
            <w:r w:rsidR="005C1C7A">
              <w:rPr>
                <w:noProof/>
                <w:webHidden/>
              </w:rPr>
              <w:tab/>
            </w:r>
            <w:r w:rsidR="005C1C7A">
              <w:rPr>
                <w:noProof/>
                <w:webHidden/>
              </w:rPr>
              <w:fldChar w:fldCharType="begin"/>
            </w:r>
            <w:r w:rsidR="005C1C7A">
              <w:rPr>
                <w:noProof/>
                <w:webHidden/>
              </w:rPr>
              <w:instrText xml:space="preserve"> PAGEREF _Toc215652854 \h </w:instrText>
            </w:r>
            <w:r w:rsidR="005C1C7A">
              <w:rPr>
                <w:noProof/>
                <w:webHidden/>
              </w:rPr>
            </w:r>
            <w:r w:rsidR="005C1C7A">
              <w:rPr>
                <w:noProof/>
                <w:webHidden/>
              </w:rPr>
              <w:fldChar w:fldCharType="separate"/>
            </w:r>
            <w:r w:rsidR="005C1C7A">
              <w:rPr>
                <w:noProof/>
                <w:webHidden/>
              </w:rPr>
              <w:t>1</w:t>
            </w:r>
            <w:r w:rsidR="005C1C7A">
              <w:rPr>
                <w:noProof/>
                <w:webHidden/>
              </w:rPr>
              <w:fldChar w:fldCharType="end"/>
            </w:r>
          </w:hyperlink>
        </w:p>
        <w:p w14:paraId="435D4F52" w14:textId="184FA886"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55" w:history="1">
            <w:r w:rsidR="005C1C7A" w:rsidRPr="0012720B">
              <w:rPr>
                <w:rStyle w:val="Hyperlink"/>
                <w:rFonts w:eastAsia="Times New Roman"/>
                <w:noProof/>
                <w:lang w:val="en-GB"/>
              </w:rPr>
              <w:t>1.2 Research Background</w:t>
            </w:r>
            <w:r w:rsidR="005C1C7A">
              <w:rPr>
                <w:noProof/>
                <w:webHidden/>
              </w:rPr>
              <w:tab/>
            </w:r>
            <w:r w:rsidR="005C1C7A">
              <w:rPr>
                <w:noProof/>
                <w:webHidden/>
              </w:rPr>
              <w:fldChar w:fldCharType="begin"/>
            </w:r>
            <w:r w:rsidR="005C1C7A">
              <w:rPr>
                <w:noProof/>
                <w:webHidden/>
              </w:rPr>
              <w:instrText xml:space="preserve"> PAGEREF _Toc215652855 \h </w:instrText>
            </w:r>
            <w:r w:rsidR="005C1C7A">
              <w:rPr>
                <w:noProof/>
                <w:webHidden/>
              </w:rPr>
            </w:r>
            <w:r w:rsidR="005C1C7A">
              <w:rPr>
                <w:noProof/>
                <w:webHidden/>
              </w:rPr>
              <w:fldChar w:fldCharType="separate"/>
            </w:r>
            <w:r w:rsidR="005C1C7A">
              <w:rPr>
                <w:noProof/>
                <w:webHidden/>
              </w:rPr>
              <w:t>1</w:t>
            </w:r>
            <w:r w:rsidR="005C1C7A">
              <w:rPr>
                <w:noProof/>
                <w:webHidden/>
              </w:rPr>
              <w:fldChar w:fldCharType="end"/>
            </w:r>
          </w:hyperlink>
        </w:p>
        <w:p w14:paraId="6DB8E6A9" w14:textId="54D94329"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56" w:history="1">
            <w:r w:rsidR="005C1C7A" w:rsidRPr="0012720B">
              <w:rPr>
                <w:rStyle w:val="Hyperlink"/>
                <w:noProof/>
              </w:rPr>
              <w:t>1.2.1 Risks of Urban fires in Developing Nations</w:t>
            </w:r>
            <w:r w:rsidR="005C1C7A">
              <w:rPr>
                <w:noProof/>
                <w:webHidden/>
              </w:rPr>
              <w:tab/>
            </w:r>
            <w:r w:rsidR="005C1C7A">
              <w:rPr>
                <w:noProof/>
                <w:webHidden/>
              </w:rPr>
              <w:fldChar w:fldCharType="begin"/>
            </w:r>
            <w:r w:rsidR="005C1C7A">
              <w:rPr>
                <w:noProof/>
                <w:webHidden/>
              </w:rPr>
              <w:instrText xml:space="preserve"> PAGEREF _Toc215652856 \h </w:instrText>
            </w:r>
            <w:r w:rsidR="005C1C7A">
              <w:rPr>
                <w:noProof/>
                <w:webHidden/>
              </w:rPr>
            </w:r>
            <w:r w:rsidR="005C1C7A">
              <w:rPr>
                <w:noProof/>
                <w:webHidden/>
              </w:rPr>
              <w:fldChar w:fldCharType="separate"/>
            </w:r>
            <w:r w:rsidR="005C1C7A">
              <w:rPr>
                <w:noProof/>
                <w:webHidden/>
              </w:rPr>
              <w:t>2</w:t>
            </w:r>
            <w:r w:rsidR="005C1C7A">
              <w:rPr>
                <w:noProof/>
                <w:webHidden/>
              </w:rPr>
              <w:fldChar w:fldCharType="end"/>
            </w:r>
          </w:hyperlink>
        </w:p>
        <w:p w14:paraId="6975D47B" w14:textId="544D477F"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57" w:history="1">
            <w:r w:rsidR="005C1C7A" w:rsidRPr="0012720B">
              <w:rPr>
                <w:rStyle w:val="Hyperlink"/>
                <w:rFonts w:eastAsia="Times New Roman"/>
                <w:noProof/>
                <w:lang w:val="en-ZW"/>
              </w:rPr>
              <w:t>1.2.2 The Harare Context</w:t>
            </w:r>
            <w:r w:rsidR="005C1C7A">
              <w:rPr>
                <w:noProof/>
                <w:webHidden/>
              </w:rPr>
              <w:tab/>
            </w:r>
            <w:r w:rsidR="005C1C7A">
              <w:rPr>
                <w:noProof/>
                <w:webHidden/>
              </w:rPr>
              <w:fldChar w:fldCharType="begin"/>
            </w:r>
            <w:r w:rsidR="005C1C7A">
              <w:rPr>
                <w:noProof/>
                <w:webHidden/>
              </w:rPr>
              <w:instrText xml:space="preserve"> PAGEREF _Toc215652857 \h </w:instrText>
            </w:r>
            <w:r w:rsidR="005C1C7A">
              <w:rPr>
                <w:noProof/>
                <w:webHidden/>
              </w:rPr>
            </w:r>
            <w:r w:rsidR="005C1C7A">
              <w:rPr>
                <w:noProof/>
                <w:webHidden/>
              </w:rPr>
              <w:fldChar w:fldCharType="separate"/>
            </w:r>
            <w:r w:rsidR="005C1C7A">
              <w:rPr>
                <w:noProof/>
                <w:webHidden/>
              </w:rPr>
              <w:t>2</w:t>
            </w:r>
            <w:r w:rsidR="005C1C7A">
              <w:rPr>
                <w:noProof/>
                <w:webHidden/>
              </w:rPr>
              <w:fldChar w:fldCharType="end"/>
            </w:r>
          </w:hyperlink>
        </w:p>
        <w:p w14:paraId="686572E2" w14:textId="70ADC472"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58" w:history="1">
            <w:r w:rsidR="005C1C7A" w:rsidRPr="0012720B">
              <w:rPr>
                <w:rStyle w:val="Hyperlink"/>
                <w:rFonts w:eastAsia="Times New Roman"/>
                <w:noProof/>
                <w:lang w:val="en-GB"/>
              </w:rPr>
              <w:t>1.3 Statement of the problem</w:t>
            </w:r>
            <w:r w:rsidR="005C1C7A">
              <w:rPr>
                <w:noProof/>
                <w:webHidden/>
              </w:rPr>
              <w:tab/>
            </w:r>
            <w:r w:rsidR="005C1C7A">
              <w:rPr>
                <w:noProof/>
                <w:webHidden/>
              </w:rPr>
              <w:fldChar w:fldCharType="begin"/>
            </w:r>
            <w:r w:rsidR="005C1C7A">
              <w:rPr>
                <w:noProof/>
                <w:webHidden/>
              </w:rPr>
              <w:instrText xml:space="preserve"> PAGEREF _Toc215652858 \h </w:instrText>
            </w:r>
            <w:r w:rsidR="005C1C7A">
              <w:rPr>
                <w:noProof/>
                <w:webHidden/>
              </w:rPr>
            </w:r>
            <w:r w:rsidR="005C1C7A">
              <w:rPr>
                <w:noProof/>
                <w:webHidden/>
              </w:rPr>
              <w:fldChar w:fldCharType="separate"/>
            </w:r>
            <w:r w:rsidR="005C1C7A">
              <w:rPr>
                <w:noProof/>
                <w:webHidden/>
              </w:rPr>
              <w:t>3</w:t>
            </w:r>
            <w:r w:rsidR="005C1C7A">
              <w:rPr>
                <w:noProof/>
                <w:webHidden/>
              </w:rPr>
              <w:fldChar w:fldCharType="end"/>
            </w:r>
          </w:hyperlink>
        </w:p>
        <w:p w14:paraId="16F54024" w14:textId="71D6C559"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59" w:history="1">
            <w:r w:rsidR="005C1C7A" w:rsidRPr="0012720B">
              <w:rPr>
                <w:rStyle w:val="Hyperlink"/>
                <w:rFonts w:eastAsia="Times New Roman"/>
                <w:noProof/>
                <w:lang w:val="en-GB"/>
              </w:rPr>
              <w:t>1.4 Research Aim</w:t>
            </w:r>
            <w:r w:rsidR="005C1C7A">
              <w:rPr>
                <w:noProof/>
                <w:webHidden/>
              </w:rPr>
              <w:tab/>
            </w:r>
            <w:r w:rsidR="005C1C7A">
              <w:rPr>
                <w:noProof/>
                <w:webHidden/>
              </w:rPr>
              <w:fldChar w:fldCharType="begin"/>
            </w:r>
            <w:r w:rsidR="005C1C7A">
              <w:rPr>
                <w:noProof/>
                <w:webHidden/>
              </w:rPr>
              <w:instrText xml:space="preserve"> PAGEREF _Toc215652859 \h </w:instrText>
            </w:r>
            <w:r w:rsidR="005C1C7A">
              <w:rPr>
                <w:noProof/>
                <w:webHidden/>
              </w:rPr>
            </w:r>
            <w:r w:rsidR="005C1C7A">
              <w:rPr>
                <w:noProof/>
                <w:webHidden/>
              </w:rPr>
              <w:fldChar w:fldCharType="separate"/>
            </w:r>
            <w:r w:rsidR="005C1C7A">
              <w:rPr>
                <w:noProof/>
                <w:webHidden/>
              </w:rPr>
              <w:t>4</w:t>
            </w:r>
            <w:r w:rsidR="005C1C7A">
              <w:rPr>
                <w:noProof/>
                <w:webHidden/>
              </w:rPr>
              <w:fldChar w:fldCharType="end"/>
            </w:r>
          </w:hyperlink>
        </w:p>
        <w:p w14:paraId="59AA581A" w14:textId="4D12C4BF"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60" w:history="1">
            <w:r w:rsidR="005C1C7A" w:rsidRPr="0012720B">
              <w:rPr>
                <w:rStyle w:val="Hyperlink"/>
                <w:rFonts w:eastAsia="Times New Roman"/>
                <w:noProof/>
                <w:lang w:val="en-GB"/>
              </w:rPr>
              <w:t>1.5 Research Objectives</w:t>
            </w:r>
            <w:r w:rsidR="005C1C7A">
              <w:rPr>
                <w:noProof/>
                <w:webHidden/>
              </w:rPr>
              <w:tab/>
            </w:r>
            <w:r w:rsidR="005C1C7A">
              <w:rPr>
                <w:noProof/>
                <w:webHidden/>
              </w:rPr>
              <w:fldChar w:fldCharType="begin"/>
            </w:r>
            <w:r w:rsidR="005C1C7A">
              <w:rPr>
                <w:noProof/>
                <w:webHidden/>
              </w:rPr>
              <w:instrText xml:space="preserve"> PAGEREF _Toc215652860 \h </w:instrText>
            </w:r>
            <w:r w:rsidR="005C1C7A">
              <w:rPr>
                <w:noProof/>
                <w:webHidden/>
              </w:rPr>
            </w:r>
            <w:r w:rsidR="005C1C7A">
              <w:rPr>
                <w:noProof/>
                <w:webHidden/>
              </w:rPr>
              <w:fldChar w:fldCharType="separate"/>
            </w:r>
            <w:r w:rsidR="005C1C7A">
              <w:rPr>
                <w:noProof/>
                <w:webHidden/>
              </w:rPr>
              <w:t>4</w:t>
            </w:r>
            <w:r w:rsidR="005C1C7A">
              <w:rPr>
                <w:noProof/>
                <w:webHidden/>
              </w:rPr>
              <w:fldChar w:fldCharType="end"/>
            </w:r>
          </w:hyperlink>
        </w:p>
        <w:p w14:paraId="7702D208" w14:textId="4B71A05E"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61" w:history="1">
            <w:r w:rsidR="005C1C7A" w:rsidRPr="0012720B">
              <w:rPr>
                <w:rStyle w:val="Hyperlink"/>
                <w:rFonts w:eastAsia="Times New Roman"/>
                <w:noProof/>
                <w:lang w:val="en-GB"/>
              </w:rPr>
              <w:t>1.6 Research Questions</w:t>
            </w:r>
            <w:r w:rsidR="005C1C7A">
              <w:rPr>
                <w:noProof/>
                <w:webHidden/>
              </w:rPr>
              <w:tab/>
            </w:r>
            <w:r w:rsidR="005C1C7A">
              <w:rPr>
                <w:noProof/>
                <w:webHidden/>
              </w:rPr>
              <w:fldChar w:fldCharType="begin"/>
            </w:r>
            <w:r w:rsidR="005C1C7A">
              <w:rPr>
                <w:noProof/>
                <w:webHidden/>
              </w:rPr>
              <w:instrText xml:space="preserve"> PAGEREF _Toc215652861 \h </w:instrText>
            </w:r>
            <w:r w:rsidR="005C1C7A">
              <w:rPr>
                <w:noProof/>
                <w:webHidden/>
              </w:rPr>
            </w:r>
            <w:r w:rsidR="005C1C7A">
              <w:rPr>
                <w:noProof/>
                <w:webHidden/>
              </w:rPr>
              <w:fldChar w:fldCharType="separate"/>
            </w:r>
            <w:r w:rsidR="005C1C7A">
              <w:rPr>
                <w:noProof/>
                <w:webHidden/>
              </w:rPr>
              <w:t>4</w:t>
            </w:r>
            <w:r w:rsidR="005C1C7A">
              <w:rPr>
                <w:noProof/>
                <w:webHidden/>
              </w:rPr>
              <w:fldChar w:fldCharType="end"/>
            </w:r>
          </w:hyperlink>
        </w:p>
        <w:p w14:paraId="42406F06" w14:textId="2820B65A"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62" w:history="1">
            <w:r w:rsidR="005C1C7A" w:rsidRPr="0012720B">
              <w:rPr>
                <w:rStyle w:val="Hyperlink"/>
                <w:rFonts w:eastAsia="Times New Roman"/>
                <w:noProof/>
                <w:lang w:val="en-GB"/>
              </w:rPr>
              <w:t>1.7 Justification of the Research</w:t>
            </w:r>
            <w:r w:rsidR="005C1C7A">
              <w:rPr>
                <w:noProof/>
                <w:webHidden/>
              </w:rPr>
              <w:tab/>
            </w:r>
            <w:r w:rsidR="005C1C7A">
              <w:rPr>
                <w:noProof/>
                <w:webHidden/>
              </w:rPr>
              <w:fldChar w:fldCharType="begin"/>
            </w:r>
            <w:r w:rsidR="005C1C7A">
              <w:rPr>
                <w:noProof/>
                <w:webHidden/>
              </w:rPr>
              <w:instrText xml:space="preserve"> PAGEREF _Toc215652862 \h </w:instrText>
            </w:r>
            <w:r w:rsidR="005C1C7A">
              <w:rPr>
                <w:noProof/>
                <w:webHidden/>
              </w:rPr>
            </w:r>
            <w:r w:rsidR="005C1C7A">
              <w:rPr>
                <w:noProof/>
                <w:webHidden/>
              </w:rPr>
              <w:fldChar w:fldCharType="separate"/>
            </w:r>
            <w:r w:rsidR="005C1C7A">
              <w:rPr>
                <w:noProof/>
                <w:webHidden/>
              </w:rPr>
              <w:t>4</w:t>
            </w:r>
            <w:r w:rsidR="005C1C7A">
              <w:rPr>
                <w:noProof/>
                <w:webHidden/>
              </w:rPr>
              <w:fldChar w:fldCharType="end"/>
            </w:r>
          </w:hyperlink>
        </w:p>
        <w:p w14:paraId="3CF0053B" w14:textId="40D85838"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3" w:history="1">
            <w:r w:rsidR="005C1C7A" w:rsidRPr="0012720B">
              <w:rPr>
                <w:rStyle w:val="Hyperlink"/>
                <w:rFonts w:eastAsia="Times New Roman"/>
                <w:noProof/>
                <w:lang w:val="en-ZW"/>
              </w:rPr>
              <w:t>1.7.1 Informing Policy and Regulatory Frameworks</w:t>
            </w:r>
            <w:r w:rsidR="005C1C7A">
              <w:rPr>
                <w:noProof/>
                <w:webHidden/>
              </w:rPr>
              <w:tab/>
            </w:r>
            <w:r w:rsidR="005C1C7A">
              <w:rPr>
                <w:noProof/>
                <w:webHidden/>
              </w:rPr>
              <w:fldChar w:fldCharType="begin"/>
            </w:r>
            <w:r w:rsidR="005C1C7A">
              <w:rPr>
                <w:noProof/>
                <w:webHidden/>
              </w:rPr>
              <w:instrText xml:space="preserve"> PAGEREF _Toc215652863 \h </w:instrText>
            </w:r>
            <w:r w:rsidR="005C1C7A">
              <w:rPr>
                <w:noProof/>
                <w:webHidden/>
              </w:rPr>
            </w:r>
            <w:r w:rsidR="005C1C7A">
              <w:rPr>
                <w:noProof/>
                <w:webHidden/>
              </w:rPr>
              <w:fldChar w:fldCharType="separate"/>
            </w:r>
            <w:r w:rsidR="005C1C7A">
              <w:rPr>
                <w:noProof/>
                <w:webHidden/>
              </w:rPr>
              <w:t>4</w:t>
            </w:r>
            <w:r w:rsidR="005C1C7A">
              <w:rPr>
                <w:noProof/>
                <w:webHidden/>
              </w:rPr>
              <w:fldChar w:fldCharType="end"/>
            </w:r>
          </w:hyperlink>
        </w:p>
        <w:p w14:paraId="5F059048" w14:textId="0F021E54"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4" w:history="1">
            <w:r w:rsidR="005C1C7A" w:rsidRPr="0012720B">
              <w:rPr>
                <w:rStyle w:val="Hyperlink"/>
                <w:rFonts w:eastAsia="Times New Roman"/>
                <w:noProof/>
                <w:lang w:val="en-ZW"/>
              </w:rPr>
              <w:t>1.7.2 Enhancing Urban Planning and Infrastructure Development</w:t>
            </w:r>
            <w:r w:rsidR="005C1C7A">
              <w:rPr>
                <w:noProof/>
                <w:webHidden/>
              </w:rPr>
              <w:tab/>
            </w:r>
            <w:r w:rsidR="005C1C7A">
              <w:rPr>
                <w:noProof/>
                <w:webHidden/>
              </w:rPr>
              <w:fldChar w:fldCharType="begin"/>
            </w:r>
            <w:r w:rsidR="005C1C7A">
              <w:rPr>
                <w:noProof/>
                <w:webHidden/>
              </w:rPr>
              <w:instrText xml:space="preserve"> PAGEREF _Toc215652864 \h </w:instrText>
            </w:r>
            <w:r w:rsidR="005C1C7A">
              <w:rPr>
                <w:noProof/>
                <w:webHidden/>
              </w:rPr>
            </w:r>
            <w:r w:rsidR="005C1C7A">
              <w:rPr>
                <w:noProof/>
                <w:webHidden/>
              </w:rPr>
              <w:fldChar w:fldCharType="separate"/>
            </w:r>
            <w:r w:rsidR="005C1C7A">
              <w:rPr>
                <w:noProof/>
                <w:webHidden/>
              </w:rPr>
              <w:t>5</w:t>
            </w:r>
            <w:r w:rsidR="005C1C7A">
              <w:rPr>
                <w:noProof/>
                <w:webHidden/>
              </w:rPr>
              <w:fldChar w:fldCharType="end"/>
            </w:r>
          </w:hyperlink>
        </w:p>
        <w:p w14:paraId="737D10EA" w14:textId="49CEB394"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5" w:history="1">
            <w:r w:rsidR="005C1C7A" w:rsidRPr="0012720B">
              <w:rPr>
                <w:rStyle w:val="Hyperlink"/>
                <w:rFonts w:eastAsia="Times New Roman"/>
                <w:noProof/>
                <w:lang w:val="en-ZW"/>
              </w:rPr>
              <w:t>1.7.3 Promoting Community Awareness and Engagement</w:t>
            </w:r>
            <w:r w:rsidR="005C1C7A">
              <w:rPr>
                <w:noProof/>
                <w:webHidden/>
              </w:rPr>
              <w:tab/>
            </w:r>
            <w:r w:rsidR="005C1C7A">
              <w:rPr>
                <w:noProof/>
                <w:webHidden/>
              </w:rPr>
              <w:fldChar w:fldCharType="begin"/>
            </w:r>
            <w:r w:rsidR="005C1C7A">
              <w:rPr>
                <w:noProof/>
                <w:webHidden/>
              </w:rPr>
              <w:instrText xml:space="preserve"> PAGEREF _Toc215652865 \h </w:instrText>
            </w:r>
            <w:r w:rsidR="005C1C7A">
              <w:rPr>
                <w:noProof/>
                <w:webHidden/>
              </w:rPr>
            </w:r>
            <w:r w:rsidR="005C1C7A">
              <w:rPr>
                <w:noProof/>
                <w:webHidden/>
              </w:rPr>
              <w:fldChar w:fldCharType="separate"/>
            </w:r>
            <w:r w:rsidR="005C1C7A">
              <w:rPr>
                <w:noProof/>
                <w:webHidden/>
              </w:rPr>
              <w:t>5</w:t>
            </w:r>
            <w:r w:rsidR="005C1C7A">
              <w:rPr>
                <w:noProof/>
                <w:webHidden/>
              </w:rPr>
              <w:fldChar w:fldCharType="end"/>
            </w:r>
          </w:hyperlink>
        </w:p>
        <w:p w14:paraId="1FFEDD64" w14:textId="22B1B46A"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6" w:history="1">
            <w:r w:rsidR="005C1C7A" w:rsidRPr="0012720B">
              <w:rPr>
                <w:rStyle w:val="Hyperlink"/>
                <w:rFonts w:eastAsia="Times New Roman"/>
                <w:noProof/>
                <w:lang w:val="en-ZW"/>
              </w:rPr>
              <w:t>1.7.4 Contributing to Academic and Practical Knowledge</w:t>
            </w:r>
            <w:r w:rsidR="005C1C7A">
              <w:rPr>
                <w:noProof/>
                <w:webHidden/>
              </w:rPr>
              <w:tab/>
            </w:r>
            <w:r w:rsidR="005C1C7A">
              <w:rPr>
                <w:noProof/>
                <w:webHidden/>
              </w:rPr>
              <w:fldChar w:fldCharType="begin"/>
            </w:r>
            <w:r w:rsidR="005C1C7A">
              <w:rPr>
                <w:noProof/>
                <w:webHidden/>
              </w:rPr>
              <w:instrText xml:space="preserve"> PAGEREF _Toc215652866 \h </w:instrText>
            </w:r>
            <w:r w:rsidR="005C1C7A">
              <w:rPr>
                <w:noProof/>
                <w:webHidden/>
              </w:rPr>
            </w:r>
            <w:r w:rsidR="005C1C7A">
              <w:rPr>
                <w:noProof/>
                <w:webHidden/>
              </w:rPr>
              <w:fldChar w:fldCharType="separate"/>
            </w:r>
            <w:r w:rsidR="005C1C7A">
              <w:rPr>
                <w:noProof/>
                <w:webHidden/>
              </w:rPr>
              <w:t>5</w:t>
            </w:r>
            <w:r w:rsidR="005C1C7A">
              <w:rPr>
                <w:noProof/>
                <w:webHidden/>
              </w:rPr>
              <w:fldChar w:fldCharType="end"/>
            </w:r>
          </w:hyperlink>
        </w:p>
        <w:p w14:paraId="0F800CE3" w14:textId="2C21BB3C"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7" w:history="1">
            <w:r w:rsidR="005C1C7A" w:rsidRPr="0012720B">
              <w:rPr>
                <w:rStyle w:val="Hyperlink"/>
                <w:rFonts w:eastAsia="Times New Roman"/>
                <w:noProof/>
                <w:lang w:val="en-ZW"/>
              </w:rPr>
              <w:t>1.7.5 Supporting Sustainable Urban Development</w:t>
            </w:r>
            <w:r w:rsidR="005C1C7A">
              <w:rPr>
                <w:noProof/>
                <w:webHidden/>
              </w:rPr>
              <w:tab/>
            </w:r>
            <w:r w:rsidR="005C1C7A">
              <w:rPr>
                <w:noProof/>
                <w:webHidden/>
              </w:rPr>
              <w:fldChar w:fldCharType="begin"/>
            </w:r>
            <w:r w:rsidR="005C1C7A">
              <w:rPr>
                <w:noProof/>
                <w:webHidden/>
              </w:rPr>
              <w:instrText xml:space="preserve"> PAGEREF _Toc215652867 \h </w:instrText>
            </w:r>
            <w:r w:rsidR="005C1C7A">
              <w:rPr>
                <w:noProof/>
                <w:webHidden/>
              </w:rPr>
            </w:r>
            <w:r w:rsidR="005C1C7A">
              <w:rPr>
                <w:noProof/>
                <w:webHidden/>
              </w:rPr>
              <w:fldChar w:fldCharType="separate"/>
            </w:r>
            <w:r w:rsidR="005C1C7A">
              <w:rPr>
                <w:noProof/>
                <w:webHidden/>
              </w:rPr>
              <w:t>5</w:t>
            </w:r>
            <w:r w:rsidR="005C1C7A">
              <w:rPr>
                <w:noProof/>
                <w:webHidden/>
              </w:rPr>
              <w:fldChar w:fldCharType="end"/>
            </w:r>
          </w:hyperlink>
        </w:p>
        <w:p w14:paraId="3E7B25D9" w14:textId="2642A05B"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68" w:history="1">
            <w:r w:rsidR="005C1C7A" w:rsidRPr="0012720B">
              <w:rPr>
                <w:rStyle w:val="Hyperlink"/>
                <w:rFonts w:eastAsia="Times New Roman"/>
                <w:noProof/>
                <w:lang w:val="en-ZW"/>
              </w:rPr>
              <w:t>1.7.6 Guiding Future Research and Interventions</w:t>
            </w:r>
            <w:r w:rsidR="005C1C7A">
              <w:rPr>
                <w:noProof/>
                <w:webHidden/>
              </w:rPr>
              <w:tab/>
            </w:r>
            <w:r w:rsidR="005C1C7A">
              <w:rPr>
                <w:noProof/>
                <w:webHidden/>
              </w:rPr>
              <w:fldChar w:fldCharType="begin"/>
            </w:r>
            <w:r w:rsidR="005C1C7A">
              <w:rPr>
                <w:noProof/>
                <w:webHidden/>
              </w:rPr>
              <w:instrText xml:space="preserve"> PAGEREF _Toc215652868 \h </w:instrText>
            </w:r>
            <w:r w:rsidR="005C1C7A">
              <w:rPr>
                <w:noProof/>
                <w:webHidden/>
              </w:rPr>
            </w:r>
            <w:r w:rsidR="005C1C7A">
              <w:rPr>
                <w:noProof/>
                <w:webHidden/>
              </w:rPr>
              <w:fldChar w:fldCharType="separate"/>
            </w:r>
            <w:r w:rsidR="005C1C7A">
              <w:rPr>
                <w:noProof/>
                <w:webHidden/>
              </w:rPr>
              <w:t>6</w:t>
            </w:r>
            <w:r w:rsidR="005C1C7A">
              <w:rPr>
                <w:noProof/>
                <w:webHidden/>
              </w:rPr>
              <w:fldChar w:fldCharType="end"/>
            </w:r>
          </w:hyperlink>
        </w:p>
        <w:p w14:paraId="1567D751" w14:textId="1F810BEF"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69" w:history="1">
            <w:r w:rsidR="005C1C7A" w:rsidRPr="0012720B">
              <w:rPr>
                <w:rStyle w:val="Hyperlink"/>
                <w:rFonts w:eastAsia="Times New Roman"/>
                <w:noProof/>
                <w:lang w:val="en-GB"/>
              </w:rPr>
              <w:t>1.8 Reliability and Validity</w:t>
            </w:r>
            <w:r w:rsidR="005C1C7A">
              <w:rPr>
                <w:noProof/>
                <w:webHidden/>
              </w:rPr>
              <w:tab/>
            </w:r>
            <w:r w:rsidR="005C1C7A">
              <w:rPr>
                <w:noProof/>
                <w:webHidden/>
              </w:rPr>
              <w:fldChar w:fldCharType="begin"/>
            </w:r>
            <w:r w:rsidR="005C1C7A">
              <w:rPr>
                <w:noProof/>
                <w:webHidden/>
              </w:rPr>
              <w:instrText xml:space="preserve"> PAGEREF _Toc215652869 \h </w:instrText>
            </w:r>
            <w:r w:rsidR="005C1C7A">
              <w:rPr>
                <w:noProof/>
                <w:webHidden/>
              </w:rPr>
            </w:r>
            <w:r w:rsidR="005C1C7A">
              <w:rPr>
                <w:noProof/>
                <w:webHidden/>
              </w:rPr>
              <w:fldChar w:fldCharType="separate"/>
            </w:r>
            <w:r w:rsidR="005C1C7A">
              <w:rPr>
                <w:noProof/>
                <w:webHidden/>
              </w:rPr>
              <w:t>6</w:t>
            </w:r>
            <w:r w:rsidR="005C1C7A">
              <w:rPr>
                <w:noProof/>
                <w:webHidden/>
              </w:rPr>
              <w:fldChar w:fldCharType="end"/>
            </w:r>
          </w:hyperlink>
        </w:p>
        <w:p w14:paraId="4BBBFDF7" w14:textId="10164BB2"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70" w:history="1">
            <w:r w:rsidR="005C1C7A" w:rsidRPr="0012720B">
              <w:rPr>
                <w:rStyle w:val="Hyperlink"/>
                <w:rFonts w:eastAsia="Times New Roman"/>
                <w:noProof/>
                <w:lang w:val="en-ZW"/>
              </w:rPr>
              <w:t>1.8.1 Validity</w:t>
            </w:r>
            <w:r w:rsidR="005C1C7A">
              <w:rPr>
                <w:noProof/>
                <w:webHidden/>
              </w:rPr>
              <w:tab/>
            </w:r>
            <w:r w:rsidR="005C1C7A">
              <w:rPr>
                <w:noProof/>
                <w:webHidden/>
              </w:rPr>
              <w:fldChar w:fldCharType="begin"/>
            </w:r>
            <w:r w:rsidR="005C1C7A">
              <w:rPr>
                <w:noProof/>
                <w:webHidden/>
              </w:rPr>
              <w:instrText xml:space="preserve"> PAGEREF _Toc215652870 \h </w:instrText>
            </w:r>
            <w:r w:rsidR="005C1C7A">
              <w:rPr>
                <w:noProof/>
                <w:webHidden/>
              </w:rPr>
            </w:r>
            <w:r w:rsidR="005C1C7A">
              <w:rPr>
                <w:noProof/>
                <w:webHidden/>
              </w:rPr>
              <w:fldChar w:fldCharType="separate"/>
            </w:r>
            <w:r w:rsidR="005C1C7A">
              <w:rPr>
                <w:noProof/>
                <w:webHidden/>
              </w:rPr>
              <w:t>6</w:t>
            </w:r>
            <w:r w:rsidR="005C1C7A">
              <w:rPr>
                <w:noProof/>
                <w:webHidden/>
              </w:rPr>
              <w:fldChar w:fldCharType="end"/>
            </w:r>
          </w:hyperlink>
        </w:p>
        <w:p w14:paraId="060AC7C6" w14:textId="328C45AB"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71" w:history="1">
            <w:r w:rsidR="005C1C7A" w:rsidRPr="0012720B">
              <w:rPr>
                <w:rStyle w:val="Hyperlink"/>
                <w:rFonts w:eastAsia="Times New Roman"/>
                <w:noProof/>
                <w:lang w:val="en-ZW"/>
              </w:rPr>
              <w:t>1.8.2 Dependability</w:t>
            </w:r>
            <w:r w:rsidR="005C1C7A">
              <w:rPr>
                <w:noProof/>
                <w:webHidden/>
              </w:rPr>
              <w:tab/>
            </w:r>
            <w:r w:rsidR="005C1C7A">
              <w:rPr>
                <w:noProof/>
                <w:webHidden/>
              </w:rPr>
              <w:fldChar w:fldCharType="begin"/>
            </w:r>
            <w:r w:rsidR="005C1C7A">
              <w:rPr>
                <w:noProof/>
                <w:webHidden/>
              </w:rPr>
              <w:instrText xml:space="preserve"> PAGEREF _Toc215652871 \h </w:instrText>
            </w:r>
            <w:r w:rsidR="005C1C7A">
              <w:rPr>
                <w:noProof/>
                <w:webHidden/>
              </w:rPr>
            </w:r>
            <w:r w:rsidR="005C1C7A">
              <w:rPr>
                <w:noProof/>
                <w:webHidden/>
              </w:rPr>
              <w:fldChar w:fldCharType="separate"/>
            </w:r>
            <w:r w:rsidR="005C1C7A">
              <w:rPr>
                <w:noProof/>
                <w:webHidden/>
              </w:rPr>
              <w:t>6</w:t>
            </w:r>
            <w:r w:rsidR="005C1C7A">
              <w:rPr>
                <w:noProof/>
                <w:webHidden/>
              </w:rPr>
              <w:fldChar w:fldCharType="end"/>
            </w:r>
          </w:hyperlink>
        </w:p>
        <w:p w14:paraId="669E9EA4" w14:textId="1B711885"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2" w:history="1">
            <w:r w:rsidR="005C1C7A" w:rsidRPr="0012720B">
              <w:rPr>
                <w:rStyle w:val="Hyperlink"/>
                <w:rFonts w:eastAsia="Times New Roman"/>
                <w:noProof/>
                <w:lang w:val="en-GB"/>
              </w:rPr>
              <w:t>1.9 Assumptions</w:t>
            </w:r>
            <w:r w:rsidR="005C1C7A">
              <w:rPr>
                <w:noProof/>
                <w:webHidden/>
              </w:rPr>
              <w:tab/>
            </w:r>
            <w:r w:rsidR="005C1C7A">
              <w:rPr>
                <w:noProof/>
                <w:webHidden/>
              </w:rPr>
              <w:fldChar w:fldCharType="begin"/>
            </w:r>
            <w:r w:rsidR="005C1C7A">
              <w:rPr>
                <w:noProof/>
                <w:webHidden/>
              </w:rPr>
              <w:instrText xml:space="preserve"> PAGEREF _Toc215652872 \h </w:instrText>
            </w:r>
            <w:r w:rsidR="005C1C7A">
              <w:rPr>
                <w:noProof/>
                <w:webHidden/>
              </w:rPr>
            </w:r>
            <w:r w:rsidR="005C1C7A">
              <w:rPr>
                <w:noProof/>
                <w:webHidden/>
              </w:rPr>
              <w:fldChar w:fldCharType="separate"/>
            </w:r>
            <w:r w:rsidR="005C1C7A">
              <w:rPr>
                <w:noProof/>
                <w:webHidden/>
              </w:rPr>
              <w:t>7</w:t>
            </w:r>
            <w:r w:rsidR="005C1C7A">
              <w:rPr>
                <w:noProof/>
                <w:webHidden/>
              </w:rPr>
              <w:fldChar w:fldCharType="end"/>
            </w:r>
          </w:hyperlink>
        </w:p>
        <w:p w14:paraId="6E38DDC1" w14:textId="06ABCCCC"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3" w:history="1">
            <w:r w:rsidR="005C1C7A" w:rsidRPr="0012720B">
              <w:rPr>
                <w:rStyle w:val="Hyperlink"/>
                <w:rFonts w:eastAsia="Times New Roman"/>
                <w:noProof/>
                <w:lang w:val="en-GB"/>
              </w:rPr>
              <w:t>1.10 Limitations</w:t>
            </w:r>
            <w:r w:rsidR="005C1C7A">
              <w:rPr>
                <w:noProof/>
                <w:webHidden/>
              </w:rPr>
              <w:tab/>
            </w:r>
            <w:r w:rsidR="005C1C7A">
              <w:rPr>
                <w:noProof/>
                <w:webHidden/>
              </w:rPr>
              <w:fldChar w:fldCharType="begin"/>
            </w:r>
            <w:r w:rsidR="005C1C7A">
              <w:rPr>
                <w:noProof/>
                <w:webHidden/>
              </w:rPr>
              <w:instrText xml:space="preserve"> PAGEREF _Toc215652873 \h </w:instrText>
            </w:r>
            <w:r w:rsidR="005C1C7A">
              <w:rPr>
                <w:noProof/>
                <w:webHidden/>
              </w:rPr>
            </w:r>
            <w:r w:rsidR="005C1C7A">
              <w:rPr>
                <w:noProof/>
                <w:webHidden/>
              </w:rPr>
              <w:fldChar w:fldCharType="separate"/>
            </w:r>
            <w:r w:rsidR="005C1C7A">
              <w:rPr>
                <w:noProof/>
                <w:webHidden/>
              </w:rPr>
              <w:t>8</w:t>
            </w:r>
            <w:r w:rsidR="005C1C7A">
              <w:rPr>
                <w:noProof/>
                <w:webHidden/>
              </w:rPr>
              <w:fldChar w:fldCharType="end"/>
            </w:r>
          </w:hyperlink>
        </w:p>
        <w:p w14:paraId="16A02FB3" w14:textId="0F3C9936"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4" w:history="1">
            <w:r w:rsidR="005C1C7A" w:rsidRPr="0012720B">
              <w:rPr>
                <w:rStyle w:val="Hyperlink"/>
                <w:rFonts w:eastAsia="Times New Roman"/>
                <w:noProof/>
                <w:lang w:val="en-GB"/>
              </w:rPr>
              <w:t>1.11 Delimitations</w:t>
            </w:r>
            <w:r w:rsidR="005C1C7A">
              <w:rPr>
                <w:noProof/>
                <w:webHidden/>
              </w:rPr>
              <w:tab/>
            </w:r>
            <w:r w:rsidR="005C1C7A">
              <w:rPr>
                <w:noProof/>
                <w:webHidden/>
              </w:rPr>
              <w:fldChar w:fldCharType="begin"/>
            </w:r>
            <w:r w:rsidR="005C1C7A">
              <w:rPr>
                <w:noProof/>
                <w:webHidden/>
              </w:rPr>
              <w:instrText xml:space="preserve"> PAGEREF _Toc215652874 \h </w:instrText>
            </w:r>
            <w:r w:rsidR="005C1C7A">
              <w:rPr>
                <w:noProof/>
                <w:webHidden/>
              </w:rPr>
            </w:r>
            <w:r w:rsidR="005C1C7A">
              <w:rPr>
                <w:noProof/>
                <w:webHidden/>
              </w:rPr>
              <w:fldChar w:fldCharType="separate"/>
            </w:r>
            <w:r w:rsidR="005C1C7A">
              <w:rPr>
                <w:noProof/>
                <w:webHidden/>
              </w:rPr>
              <w:t>9</w:t>
            </w:r>
            <w:r w:rsidR="005C1C7A">
              <w:rPr>
                <w:noProof/>
                <w:webHidden/>
              </w:rPr>
              <w:fldChar w:fldCharType="end"/>
            </w:r>
          </w:hyperlink>
        </w:p>
        <w:p w14:paraId="1A529FCD" w14:textId="548C1C48"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5" w:history="1">
            <w:r w:rsidR="005C1C7A" w:rsidRPr="0012720B">
              <w:rPr>
                <w:rStyle w:val="Hyperlink"/>
                <w:rFonts w:eastAsia="Times New Roman"/>
                <w:noProof/>
                <w:lang w:val="en-GB"/>
              </w:rPr>
              <w:t>1.12 Definition of Terms</w:t>
            </w:r>
            <w:r w:rsidR="005C1C7A">
              <w:rPr>
                <w:noProof/>
                <w:webHidden/>
              </w:rPr>
              <w:tab/>
            </w:r>
            <w:r w:rsidR="005C1C7A">
              <w:rPr>
                <w:noProof/>
                <w:webHidden/>
              </w:rPr>
              <w:fldChar w:fldCharType="begin"/>
            </w:r>
            <w:r w:rsidR="005C1C7A">
              <w:rPr>
                <w:noProof/>
                <w:webHidden/>
              </w:rPr>
              <w:instrText xml:space="preserve"> PAGEREF _Toc215652875 \h </w:instrText>
            </w:r>
            <w:r w:rsidR="005C1C7A">
              <w:rPr>
                <w:noProof/>
                <w:webHidden/>
              </w:rPr>
            </w:r>
            <w:r w:rsidR="005C1C7A">
              <w:rPr>
                <w:noProof/>
                <w:webHidden/>
              </w:rPr>
              <w:fldChar w:fldCharType="separate"/>
            </w:r>
            <w:r w:rsidR="005C1C7A">
              <w:rPr>
                <w:noProof/>
                <w:webHidden/>
              </w:rPr>
              <w:t>10</w:t>
            </w:r>
            <w:r w:rsidR="005C1C7A">
              <w:rPr>
                <w:noProof/>
                <w:webHidden/>
              </w:rPr>
              <w:fldChar w:fldCharType="end"/>
            </w:r>
          </w:hyperlink>
        </w:p>
        <w:p w14:paraId="6EC930AB" w14:textId="329C13DD"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6" w:history="1">
            <w:r w:rsidR="005C1C7A" w:rsidRPr="0012720B">
              <w:rPr>
                <w:rStyle w:val="Hyperlink"/>
                <w:rFonts w:eastAsia="Times New Roman"/>
                <w:noProof/>
                <w:lang w:val="en-GB"/>
              </w:rPr>
              <w:t>1.13 Summary</w:t>
            </w:r>
            <w:r w:rsidR="005C1C7A">
              <w:rPr>
                <w:noProof/>
                <w:webHidden/>
              </w:rPr>
              <w:tab/>
            </w:r>
            <w:r w:rsidR="005C1C7A">
              <w:rPr>
                <w:noProof/>
                <w:webHidden/>
              </w:rPr>
              <w:fldChar w:fldCharType="begin"/>
            </w:r>
            <w:r w:rsidR="005C1C7A">
              <w:rPr>
                <w:noProof/>
                <w:webHidden/>
              </w:rPr>
              <w:instrText xml:space="preserve"> PAGEREF _Toc215652876 \h </w:instrText>
            </w:r>
            <w:r w:rsidR="005C1C7A">
              <w:rPr>
                <w:noProof/>
                <w:webHidden/>
              </w:rPr>
            </w:r>
            <w:r w:rsidR="005C1C7A">
              <w:rPr>
                <w:noProof/>
                <w:webHidden/>
              </w:rPr>
              <w:fldChar w:fldCharType="separate"/>
            </w:r>
            <w:r w:rsidR="005C1C7A">
              <w:rPr>
                <w:noProof/>
                <w:webHidden/>
              </w:rPr>
              <w:t>11</w:t>
            </w:r>
            <w:r w:rsidR="005C1C7A">
              <w:rPr>
                <w:noProof/>
                <w:webHidden/>
              </w:rPr>
              <w:fldChar w:fldCharType="end"/>
            </w:r>
          </w:hyperlink>
        </w:p>
        <w:p w14:paraId="375D0EFA" w14:textId="798F99ED"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77" w:history="1">
            <w:r w:rsidR="005C1C7A" w:rsidRPr="0012720B">
              <w:rPr>
                <w:rStyle w:val="Hyperlink"/>
                <w:noProof/>
              </w:rPr>
              <w:t>CHAPTER 2</w:t>
            </w:r>
            <w:r w:rsidR="005C1C7A">
              <w:rPr>
                <w:noProof/>
                <w:webHidden/>
              </w:rPr>
              <w:tab/>
            </w:r>
            <w:r w:rsidR="005C1C7A">
              <w:rPr>
                <w:noProof/>
                <w:webHidden/>
              </w:rPr>
              <w:fldChar w:fldCharType="begin"/>
            </w:r>
            <w:r w:rsidR="005C1C7A">
              <w:rPr>
                <w:noProof/>
                <w:webHidden/>
              </w:rPr>
              <w:instrText xml:space="preserve"> PAGEREF _Toc215652877 \h </w:instrText>
            </w:r>
            <w:r w:rsidR="005C1C7A">
              <w:rPr>
                <w:noProof/>
                <w:webHidden/>
              </w:rPr>
            </w:r>
            <w:r w:rsidR="005C1C7A">
              <w:rPr>
                <w:noProof/>
                <w:webHidden/>
              </w:rPr>
              <w:fldChar w:fldCharType="separate"/>
            </w:r>
            <w:r w:rsidR="005C1C7A">
              <w:rPr>
                <w:noProof/>
                <w:webHidden/>
              </w:rPr>
              <w:t>12</w:t>
            </w:r>
            <w:r w:rsidR="005C1C7A">
              <w:rPr>
                <w:noProof/>
                <w:webHidden/>
              </w:rPr>
              <w:fldChar w:fldCharType="end"/>
            </w:r>
          </w:hyperlink>
        </w:p>
        <w:p w14:paraId="0814543B" w14:textId="31C0FC39"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78" w:history="1">
            <w:r w:rsidR="005C1C7A" w:rsidRPr="0012720B">
              <w:rPr>
                <w:rStyle w:val="Hyperlink"/>
                <w:noProof/>
              </w:rPr>
              <w:t>Literature Review</w:t>
            </w:r>
            <w:r w:rsidR="005C1C7A">
              <w:rPr>
                <w:noProof/>
                <w:webHidden/>
              </w:rPr>
              <w:tab/>
            </w:r>
            <w:r w:rsidR="005C1C7A">
              <w:rPr>
                <w:noProof/>
                <w:webHidden/>
              </w:rPr>
              <w:fldChar w:fldCharType="begin"/>
            </w:r>
            <w:r w:rsidR="005C1C7A">
              <w:rPr>
                <w:noProof/>
                <w:webHidden/>
              </w:rPr>
              <w:instrText xml:space="preserve"> PAGEREF _Toc215652878 \h </w:instrText>
            </w:r>
            <w:r w:rsidR="005C1C7A">
              <w:rPr>
                <w:noProof/>
                <w:webHidden/>
              </w:rPr>
            </w:r>
            <w:r w:rsidR="005C1C7A">
              <w:rPr>
                <w:noProof/>
                <w:webHidden/>
              </w:rPr>
              <w:fldChar w:fldCharType="separate"/>
            </w:r>
            <w:r w:rsidR="005C1C7A">
              <w:rPr>
                <w:noProof/>
                <w:webHidden/>
              </w:rPr>
              <w:t>12</w:t>
            </w:r>
            <w:r w:rsidR="005C1C7A">
              <w:rPr>
                <w:noProof/>
                <w:webHidden/>
              </w:rPr>
              <w:fldChar w:fldCharType="end"/>
            </w:r>
          </w:hyperlink>
        </w:p>
        <w:p w14:paraId="0EF012E2" w14:textId="71DABBB5"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79" w:history="1">
            <w:r w:rsidR="005C1C7A" w:rsidRPr="0012720B">
              <w:rPr>
                <w:rStyle w:val="Hyperlink"/>
                <w:rFonts w:eastAsia="Times New Roman"/>
                <w:noProof/>
                <w:lang w:val="en-GB"/>
              </w:rPr>
              <w:t>2.1 Introduction</w:t>
            </w:r>
            <w:r w:rsidR="005C1C7A">
              <w:rPr>
                <w:noProof/>
                <w:webHidden/>
              </w:rPr>
              <w:tab/>
            </w:r>
            <w:r w:rsidR="005C1C7A">
              <w:rPr>
                <w:noProof/>
                <w:webHidden/>
              </w:rPr>
              <w:fldChar w:fldCharType="begin"/>
            </w:r>
            <w:r w:rsidR="005C1C7A">
              <w:rPr>
                <w:noProof/>
                <w:webHidden/>
              </w:rPr>
              <w:instrText xml:space="preserve"> PAGEREF _Toc215652879 \h </w:instrText>
            </w:r>
            <w:r w:rsidR="005C1C7A">
              <w:rPr>
                <w:noProof/>
                <w:webHidden/>
              </w:rPr>
            </w:r>
            <w:r w:rsidR="005C1C7A">
              <w:rPr>
                <w:noProof/>
                <w:webHidden/>
              </w:rPr>
              <w:fldChar w:fldCharType="separate"/>
            </w:r>
            <w:r w:rsidR="005C1C7A">
              <w:rPr>
                <w:noProof/>
                <w:webHidden/>
              </w:rPr>
              <w:t>12</w:t>
            </w:r>
            <w:r w:rsidR="005C1C7A">
              <w:rPr>
                <w:noProof/>
                <w:webHidden/>
              </w:rPr>
              <w:fldChar w:fldCharType="end"/>
            </w:r>
          </w:hyperlink>
        </w:p>
        <w:p w14:paraId="2B112B77" w14:textId="23993238"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80" w:history="1">
            <w:r w:rsidR="005C1C7A" w:rsidRPr="0012720B">
              <w:rPr>
                <w:rStyle w:val="Hyperlink"/>
                <w:rFonts w:eastAsia="Times New Roman"/>
                <w:noProof/>
                <w:lang w:val="en-GB"/>
              </w:rPr>
              <w:t>2.2 Conceptual Framework</w:t>
            </w:r>
            <w:r w:rsidR="005C1C7A">
              <w:rPr>
                <w:noProof/>
                <w:webHidden/>
              </w:rPr>
              <w:tab/>
            </w:r>
            <w:r w:rsidR="005C1C7A">
              <w:rPr>
                <w:noProof/>
                <w:webHidden/>
              </w:rPr>
              <w:fldChar w:fldCharType="begin"/>
            </w:r>
            <w:r w:rsidR="005C1C7A">
              <w:rPr>
                <w:noProof/>
                <w:webHidden/>
              </w:rPr>
              <w:instrText xml:space="preserve"> PAGEREF _Toc215652880 \h </w:instrText>
            </w:r>
            <w:r w:rsidR="005C1C7A">
              <w:rPr>
                <w:noProof/>
                <w:webHidden/>
              </w:rPr>
            </w:r>
            <w:r w:rsidR="005C1C7A">
              <w:rPr>
                <w:noProof/>
                <w:webHidden/>
              </w:rPr>
              <w:fldChar w:fldCharType="separate"/>
            </w:r>
            <w:r w:rsidR="005C1C7A">
              <w:rPr>
                <w:noProof/>
                <w:webHidden/>
              </w:rPr>
              <w:t>14</w:t>
            </w:r>
            <w:r w:rsidR="005C1C7A">
              <w:rPr>
                <w:noProof/>
                <w:webHidden/>
              </w:rPr>
              <w:fldChar w:fldCharType="end"/>
            </w:r>
          </w:hyperlink>
        </w:p>
        <w:p w14:paraId="4CBD3305" w14:textId="2BD3F063"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1" w:history="1">
            <w:r w:rsidR="005C1C7A" w:rsidRPr="0012720B">
              <w:rPr>
                <w:rStyle w:val="Hyperlink"/>
                <w:rFonts w:eastAsia="Times New Roman"/>
                <w:noProof/>
                <w:lang w:val="en-ZW"/>
              </w:rPr>
              <w:t>2.2.1 Framework Operationalization</w:t>
            </w:r>
            <w:r w:rsidR="005C1C7A">
              <w:rPr>
                <w:noProof/>
                <w:webHidden/>
              </w:rPr>
              <w:tab/>
            </w:r>
            <w:r w:rsidR="005C1C7A">
              <w:rPr>
                <w:noProof/>
                <w:webHidden/>
              </w:rPr>
              <w:fldChar w:fldCharType="begin"/>
            </w:r>
            <w:r w:rsidR="005C1C7A">
              <w:rPr>
                <w:noProof/>
                <w:webHidden/>
              </w:rPr>
              <w:instrText xml:space="preserve"> PAGEREF _Toc215652881 \h </w:instrText>
            </w:r>
            <w:r w:rsidR="005C1C7A">
              <w:rPr>
                <w:noProof/>
                <w:webHidden/>
              </w:rPr>
            </w:r>
            <w:r w:rsidR="005C1C7A">
              <w:rPr>
                <w:noProof/>
                <w:webHidden/>
              </w:rPr>
              <w:fldChar w:fldCharType="separate"/>
            </w:r>
            <w:r w:rsidR="005C1C7A">
              <w:rPr>
                <w:noProof/>
                <w:webHidden/>
              </w:rPr>
              <w:t>17</w:t>
            </w:r>
            <w:r w:rsidR="005C1C7A">
              <w:rPr>
                <w:noProof/>
                <w:webHidden/>
              </w:rPr>
              <w:fldChar w:fldCharType="end"/>
            </w:r>
          </w:hyperlink>
        </w:p>
        <w:p w14:paraId="115B28E7" w14:textId="512B7143"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82" w:history="1">
            <w:r w:rsidR="005C1C7A" w:rsidRPr="0012720B">
              <w:rPr>
                <w:rStyle w:val="Hyperlink"/>
                <w:noProof/>
              </w:rPr>
              <w:t>2.3 Causes of Fire Hazards in Urban Areas</w:t>
            </w:r>
            <w:r w:rsidR="005C1C7A">
              <w:rPr>
                <w:noProof/>
                <w:webHidden/>
              </w:rPr>
              <w:tab/>
            </w:r>
            <w:r w:rsidR="005C1C7A">
              <w:rPr>
                <w:noProof/>
                <w:webHidden/>
              </w:rPr>
              <w:fldChar w:fldCharType="begin"/>
            </w:r>
            <w:r w:rsidR="005C1C7A">
              <w:rPr>
                <w:noProof/>
                <w:webHidden/>
              </w:rPr>
              <w:instrText xml:space="preserve"> PAGEREF _Toc215652882 \h </w:instrText>
            </w:r>
            <w:r w:rsidR="005C1C7A">
              <w:rPr>
                <w:noProof/>
                <w:webHidden/>
              </w:rPr>
            </w:r>
            <w:r w:rsidR="005C1C7A">
              <w:rPr>
                <w:noProof/>
                <w:webHidden/>
              </w:rPr>
              <w:fldChar w:fldCharType="separate"/>
            </w:r>
            <w:r w:rsidR="005C1C7A">
              <w:rPr>
                <w:noProof/>
                <w:webHidden/>
              </w:rPr>
              <w:t>18</w:t>
            </w:r>
            <w:r w:rsidR="005C1C7A">
              <w:rPr>
                <w:noProof/>
                <w:webHidden/>
              </w:rPr>
              <w:fldChar w:fldCharType="end"/>
            </w:r>
          </w:hyperlink>
        </w:p>
        <w:p w14:paraId="713CD079" w14:textId="14C7B885"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3" w:history="1">
            <w:r w:rsidR="005C1C7A" w:rsidRPr="0012720B">
              <w:rPr>
                <w:rStyle w:val="Hyperlink"/>
                <w:noProof/>
              </w:rPr>
              <w:t>2.3.1 Key factors facilitating urban fire hazards across contexts</w:t>
            </w:r>
            <w:r w:rsidR="005C1C7A">
              <w:rPr>
                <w:noProof/>
                <w:webHidden/>
              </w:rPr>
              <w:tab/>
            </w:r>
            <w:r w:rsidR="005C1C7A">
              <w:rPr>
                <w:noProof/>
                <w:webHidden/>
              </w:rPr>
              <w:fldChar w:fldCharType="begin"/>
            </w:r>
            <w:r w:rsidR="005C1C7A">
              <w:rPr>
                <w:noProof/>
                <w:webHidden/>
              </w:rPr>
              <w:instrText xml:space="preserve"> PAGEREF _Toc215652883 \h </w:instrText>
            </w:r>
            <w:r w:rsidR="005C1C7A">
              <w:rPr>
                <w:noProof/>
                <w:webHidden/>
              </w:rPr>
            </w:r>
            <w:r w:rsidR="005C1C7A">
              <w:rPr>
                <w:noProof/>
                <w:webHidden/>
              </w:rPr>
              <w:fldChar w:fldCharType="separate"/>
            </w:r>
            <w:r w:rsidR="005C1C7A">
              <w:rPr>
                <w:noProof/>
                <w:webHidden/>
              </w:rPr>
              <w:t>23</w:t>
            </w:r>
            <w:r w:rsidR="005C1C7A">
              <w:rPr>
                <w:noProof/>
                <w:webHidden/>
              </w:rPr>
              <w:fldChar w:fldCharType="end"/>
            </w:r>
          </w:hyperlink>
        </w:p>
        <w:p w14:paraId="4516B8C1" w14:textId="7074ABBB"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84" w:history="1">
            <w:r w:rsidR="005C1C7A" w:rsidRPr="0012720B">
              <w:rPr>
                <w:rStyle w:val="Hyperlink"/>
                <w:noProof/>
              </w:rPr>
              <w:t>2.4 Impacts of Fire Hazards in Urban Harare</w:t>
            </w:r>
            <w:r w:rsidR="005C1C7A">
              <w:rPr>
                <w:noProof/>
                <w:webHidden/>
              </w:rPr>
              <w:tab/>
            </w:r>
            <w:r w:rsidR="005C1C7A">
              <w:rPr>
                <w:noProof/>
                <w:webHidden/>
              </w:rPr>
              <w:fldChar w:fldCharType="begin"/>
            </w:r>
            <w:r w:rsidR="005C1C7A">
              <w:rPr>
                <w:noProof/>
                <w:webHidden/>
              </w:rPr>
              <w:instrText xml:space="preserve"> PAGEREF _Toc215652884 \h </w:instrText>
            </w:r>
            <w:r w:rsidR="005C1C7A">
              <w:rPr>
                <w:noProof/>
                <w:webHidden/>
              </w:rPr>
            </w:r>
            <w:r w:rsidR="005C1C7A">
              <w:rPr>
                <w:noProof/>
                <w:webHidden/>
              </w:rPr>
              <w:fldChar w:fldCharType="separate"/>
            </w:r>
            <w:r w:rsidR="005C1C7A">
              <w:rPr>
                <w:noProof/>
                <w:webHidden/>
              </w:rPr>
              <w:t>24</w:t>
            </w:r>
            <w:r w:rsidR="005C1C7A">
              <w:rPr>
                <w:noProof/>
                <w:webHidden/>
              </w:rPr>
              <w:fldChar w:fldCharType="end"/>
            </w:r>
          </w:hyperlink>
        </w:p>
        <w:p w14:paraId="13BA9543" w14:textId="7F1AAF33"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5" w:history="1">
            <w:r w:rsidR="005C1C7A" w:rsidRPr="0012720B">
              <w:rPr>
                <w:rStyle w:val="Hyperlink"/>
                <w:bCs/>
                <w:noProof/>
              </w:rPr>
              <w:t>2.4.1 Cross-cutting themes for Harare emerge across fire types</w:t>
            </w:r>
            <w:r w:rsidR="005C1C7A" w:rsidRPr="0012720B">
              <w:rPr>
                <w:rStyle w:val="Hyperlink"/>
                <w:noProof/>
              </w:rPr>
              <w:t>.</w:t>
            </w:r>
            <w:r w:rsidR="005C1C7A">
              <w:rPr>
                <w:noProof/>
                <w:webHidden/>
              </w:rPr>
              <w:tab/>
            </w:r>
            <w:r w:rsidR="005C1C7A">
              <w:rPr>
                <w:noProof/>
                <w:webHidden/>
              </w:rPr>
              <w:fldChar w:fldCharType="begin"/>
            </w:r>
            <w:r w:rsidR="005C1C7A">
              <w:rPr>
                <w:noProof/>
                <w:webHidden/>
              </w:rPr>
              <w:instrText xml:space="preserve"> PAGEREF _Toc215652885 \h </w:instrText>
            </w:r>
            <w:r w:rsidR="005C1C7A">
              <w:rPr>
                <w:noProof/>
                <w:webHidden/>
              </w:rPr>
            </w:r>
            <w:r w:rsidR="005C1C7A">
              <w:rPr>
                <w:noProof/>
                <w:webHidden/>
              </w:rPr>
              <w:fldChar w:fldCharType="separate"/>
            </w:r>
            <w:r w:rsidR="005C1C7A">
              <w:rPr>
                <w:noProof/>
                <w:webHidden/>
              </w:rPr>
              <w:t>28</w:t>
            </w:r>
            <w:r w:rsidR="005C1C7A">
              <w:rPr>
                <w:noProof/>
                <w:webHidden/>
              </w:rPr>
              <w:fldChar w:fldCharType="end"/>
            </w:r>
          </w:hyperlink>
        </w:p>
        <w:p w14:paraId="77FCFA50" w14:textId="52ACDDC3"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86" w:history="1">
            <w:r w:rsidR="005C1C7A" w:rsidRPr="0012720B">
              <w:rPr>
                <w:rStyle w:val="Hyperlink"/>
                <w:noProof/>
              </w:rPr>
              <w:t>2.5 Fire Prevention and Mitigation Measures</w:t>
            </w:r>
            <w:r w:rsidR="005C1C7A">
              <w:rPr>
                <w:noProof/>
                <w:webHidden/>
              </w:rPr>
              <w:tab/>
            </w:r>
            <w:r w:rsidR="005C1C7A">
              <w:rPr>
                <w:noProof/>
                <w:webHidden/>
              </w:rPr>
              <w:fldChar w:fldCharType="begin"/>
            </w:r>
            <w:r w:rsidR="005C1C7A">
              <w:rPr>
                <w:noProof/>
                <w:webHidden/>
              </w:rPr>
              <w:instrText xml:space="preserve"> PAGEREF _Toc215652886 \h </w:instrText>
            </w:r>
            <w:r w:rsidR="005C1C7A">
              <w:rPr>
                <w:noProof/>
                <w:webHidden/>
              </w:rPr>
            </w:r>
            <w:r w:rsidR="005C1C7A">
              <w:rPr>
                <w:noProof/>
                <w:webHidden/>
              </w:rPr>
              <w:fldChar w:fldCharType="separate"/>
            </w:r>
            <w:r w:rsidR="005C1C7A">
              <w:rPr>
                <w:noProof/>
                <w:webHidden/>
              </w:rPr>
              <w:t>29</w:t>
            </w:r>
            <w:r w:rsidR="005C1C7A">
              <w:rPr>
                <w:noProof/>
                <w:webHidden/>
              </w:rPr>
              <w:fldChar w:fldCharType="end"/>
            </w:r>
          </w:hyperlink>
        </w:p>
        <w:p w14:paraId="3F1BBA23" w14:textId="40004E39"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7" w:history="1">
            <w:r w:rsidR="005C1C7A" w:rsidRPr="0012720B">
              <w:rPr>
                <w:rStyle w:val="Hyperlink"/>
                <w:noProof/>
              </w:rPr>
              <w:t>2.5.1 International level: frameworks, standards, and mechanisms</w:t>
            </w:r>
            <w:r w:rsidR="005C1C7A">
              <w:rPr>
                <w:noProof/>
                <w:webHidden/>
              </w:rPr>
              <w:tab/>
            </w:r>
            <w:r w:rsidR="005C1C7A">
              <w:rPr>
                <w:noProof/>
                <w:webHidden/>
              </w:rPr>
              <w:fldChar w:fldCharType="begin"/>
            </w:r>
            <w:r w:rsidR="005C1C7A">
              <w:rPr>
                <w:noProof/>
                <w:webHidden/>
              </w:rPr>
              <w:instrText xml:space="preserve"> PAGEREF _Toc215652887 \h </w:instrText>
            </w:r>
            <w:r w:rsidR="005C1C7A">
              <w:rPr>
                <w:noProof/>
                <w:webHidden/>
              </w:rPr>
            </w:r>
            <w:r w:rsidR="005C1C7A">
              <w:rPr>
                <w:noProof/>
                <w:webHidden/>
              </w:rPr>
              <w:fldChar w:fldCharType="separate"/>
            </w:r>
            <w:r w:rsidR="005C1C7A">
              <w:rPr>
                <w:noProof/>
                <w:webHidden/>
              </w:rPr>
              <w:t>29</w:t>
            </w:r>
            <w:r w:rsidR="005C1C7A">
              <w:rPr>
                <w:noProof/>
                <w:webHidden/>
              </w:rPr>
              <w:fldChar w:fldCharType="end"/>
            </w:r>
          </w:hyperlink>
        </w:p>
        <w:p w14:paraId="25C099EC" w14:textId="2C2BBA27"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8" w:history="1">
            <w:r w:rsidR="005C1C7A" w:rsidRPr="0012720B">
              <w:rPr>
                <w:rStyle w:val="Hyperlink"/>
                <w:noProof/>
              </w:rPr>
              <w:t>2.5.2 Implications for sectors</w:t>
            </w:r>
            <w:r w:rsidR="005C1C7A">
              <w:rPr>
                <w:noProof/>
                <w:webHidden/>
              </w:rPr>
              <w:tab/>
            </w:r>
            <w:r w:rsidR="005C1C7A">
              <w:rPr>
                <w:noProof/>
                <w:webHidden/>
              </w:rPr>
              <w:fldChar w:fldCharType="begin"/>
            </w:r>
            <w:r w:rsidR="005C1C7A">
              <w:rPr>
                <w:noProof/>
                <w:webHidden/>
              </w:rPr>
              <w:instrText xml:space="preserve"> PAGEREF _Toc215652888 \h </w:instrText>
            </w:r>
            <w:r w:rsidR="005C1C7A">
              <w:rPr>
                <w:noProof/>
                <w:webHidden/>
              </w:rPr>
            </w:r>
            <w:r w:rsidR="005C1C7A">
              <w:rPr>
                <w:noProof/>
                <w:webHidden/>
              </w:rPr>
              <w:fldChar w:fldCharType="separate"/>
            </w:r>
            <w:r w:rsidR="005C1C7A">
              <w:rPr>
                <w:noProof/>
                <w:webHidden/>
              </w:rPr>
              <w:t>30</w:t>
            </w:r>
            <w:r w:rsidR="005C1C7A">
              <w:rPr>
                <w:noProof/>
                <w:webHidden/>
              </w:rPr>
              <w:fldChar w:fldCharType="end"/>
            </w:r>
          </w:hyperlink>
        </w:p>
        <w:p w14:paraId="68DDB7F7" w14:textId="29296C88"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89" w:history="1">
            <w:r w:rsidR="005C1C7A" w:rsidRPr="0012720B">
              <w:rPr>
                <w:rStyle w:val="Hyperlink"/>
                <w:noProof/>
              </w:rPr>
              <w:t>2.5.3 Regional level: SADC policies, programs, and interoperability</w:t>
            </w:r>
            <w:r w:rsidR="005C1C7A">
              <w:rPr>
                <w:noProof/>
                <w:webHidden/>
              </w:rPr>
              <w:tab/>
            </w:r>
            <w:r w:rsidR="005C1C7A">
              <w:rPr>
                <w:noProof/>
                <w:webHidden/>
              </w:rPr>
              <w:fldChar w:fldCharType="begin"/>
            </w:r>
            <w:r w:rsidR="005C1C7A">
              <w:rPr>
                <w:noProof/>
                <w:webHidden/>
              </w:rPr>
              <w:instrText xml:space="preserve"> PAGEREF _Toc215652889 \h </w:instrText>
            </w:r>
            <w:r w:rsidR="005C1C7A">
              <w:rPr>
                <w:noProof/>
                <w:webHidden/>
              </w:rPr>
            </w:r>
            <w:r w:rsidR="005C1C7A">
              <w:rPr>
                <w:noProof/>
                <w:webHidden/>
              </w:rPr>
              <w:fldChar w:fldCharType="separate"/>
            </w:r>
            <w:r w:rsidR="005C1C7A">
              <w:rPr>
                <w:noProof/>
                <w:webHidden/>
              </w:rPr>
              <w:t>31</w:t>
            </w:r>
            <w:r w:rsidR="005C1C7A">
              <w:rPr>
                <w:noProof/>
                <w:webHidden/>
              </w:rPr>
              <w:fldChar w:fldCharType="end"/>
            </w:r>
          </w:hyperlink>
        </w:p>
        <w:p w14:paraId="1CE778A4" w14:textId="2D061D51"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90" w:history="1">
            <w:r w:rsidR="005C1C7A" w:rsidRPr="0012720B">
              <w:rPr>
                <w:rStyle w:val="Hyperlink"/>
                <w:noProof/>
              </w:rPr>
              <w:t>2.5.4 Key regional mechanisms include the SADC Disaster Risk Management Strategy and Action Plan (DRM SAP)</w:t>
            </w:r>
            <w:r w:rsidR="005C1C7A">
              <w:rPr>
                <w:noProof/>
                <w:webHidden/>
              </w:rPr>
              <w:tab/>
            </w:r>
            <w:r w:rsidR="005C1C7A">
              <w:rPr>
                <w:noProof/>
                <w:webHidden/>
              </w:rPr>
              <w:fldChar w:fldCharType="begin"/>
            </w:r>
            <w:r w:rsidR="005C1C7A">
              <w:rPr>
                <w:noProof/>
                <w:webHidden/>
              </w:rPr>
              <w:instrText xml:space="preserve"> PAGEREF _Toc215652890 \h </w:instrText>
            </w:r>
            <w:r w:rsidR="005C1C7A">
              <w:rPr>
                <w:noProof/>
                <w:webHidden/>
              </w:rPr>
            </w:r>
            <w:r w:rsidR="005C1C7A">
              <w:rPr>
                <w:noProof/>
                <w:webHidden/>
              </w:rPr>
              <w:fldChar w:fldCharType="separate"/>
            </w:r>
            <w:r w:rsidR="005C1C7A">
              <w:rPr>
                <w:noProof/>
                <w:webHidden/>
              </w:rPr>
              <w:t>31</w:t>
            </w:r>
            <w:r w:rsidR="005C1C7A">
              <w:rPr>
                <w:noProof/>
                <w:webHidden/>
              </w:rPr>
              <w:fldChar w:fldCharType="end"/>
            </w:r>
          </w:hyperlink>
        </w:p>
        <w:p w14:paraId="770BF35B" w14:textId="6384C55A"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91" w:history="1">
            <w:r w:rsidR="005C1C7A" w:rsidRPr="0012720B">
              <w:rPr>
                <w:rStyle w:val="Hyperlink"/>
                <w:noProof/>
              </w:rPr>
              <w:t>2.5.5 Implications across sectors</w:t>
            </w:r>
            <w:r w:rsidR="005C1C7A">
              <w:rPr>
                <w:noProof/>
                <w:webHidden/>
              </w:rPr>
              <w:tab/>
            </w:r>
            <w:r w:rsidR="005C1C7A">
              <w:rPr>
                <w:noProof/>
                <w:webHidden/>
              </w:rPr>
              <w:fldChar w:fldCharType="begin"/>
            </w:r>
            <w:r w:rsidR="005C1C7A">
              <w:rPr>
                <w:noProof/>
                <w:webHidden/>
              </w:rPr>
              <w:instrText xml:space="preserve"> PAGEREF _Toc215652891 \h </w:instrText>
            </w:r>
            <w:r w:rsidR="005C1C7A">
              <w:rPr>
                <w:noProof/>
                <w:webHidden/>
              </w:rPr>
            </w:r>
            <w:r w:rsidR="005C1C7A">
              <w:rPr>
                <w:noProof/>
                <w:webHidden/>
              </w:rPr>
              <w:fldChar w:fldCharType="separate"/>
            </w:r>
            <w:r w:rsidR="005C1C7A">
              <w:rPr>
                <w:noProof/>
                <w:webHidden/>
              </w:rPr>
              <w:t>32</w:t>
            </w:r>
            <w:r w:rsidR="005C1C7A">
              <w:rPr>
                <w:noProof/>
                <w:webHidden/>
              </w:rPr>
              <w:fldChar w:fldCharType="end"/>
            </w:r>
          </w:hyperlink>
        </w:p>
        <w:p w14:paraId="2083EAB6" w14:textId="040A8F81"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92" w:history="1">
            <w:r w:rsidR="005C1C7A" w:rsidRPr="0012720B">
              <w:rPr>
                <w:rStyle w:val="Hyperlink"/>
                <w:noProof/>
              </w:rPr>
              <w:t>2.5.6 Harare (city-level measures in Zimbabwe): governance, sectors, and practical actions</w:t>
            </w:r>
            <w:r w:rsidR="005C1C7A">
              <w:rPr>
                <w:noProof/>
                <w:webHidden/>
              </w:rPr>
              <w:tab/>
            </w:r>
            <w:r w:rsidR="005C1C7A">
              <w:rPr>
                <w:noProof/>
                <w:webHidden/>
              </w:rPr>
              <w:fldChar w:fldCharType="begin"/>
            </w:r>
            <w:r w:rsidR="005C1C7A">
              <w:rPr>
                <w:noProof/>
                <w:webHidden/>
              </w:rPr>
              <w:instrText xml:space="preserve"> PAGEREF _Toc215652892 \h </w:instrText>
            </w:r>
            <w:r w:rsidR="005C1C7A">
              <w:rPr>
                <w:noProof/>
                <w:webHidden/>
              </w:rPr>
            </w:r>
            <w:r w:rsidR="005C1C7A">
              <w:rPr>
                <w:noProof/>
                <w:webHidden/>
              </w:rPr>
              <w:fldChar w:fldCharType="separate"/>
            </w:r>
            <w:r w:rsidR="005C1C7A">
              <w:rPr>
                <w:noProof/>
                <w:webHidden/>
              </w:rPr>
              <w:t>33</w:t>
            </w:r>
            <w:r w:rsidR="005C1C7A">
              <w:rPr>
                <w:noProof/>
                <w:webHidden/>
              </w:rPr>
              <w:fldChar w:fldCharType="end"/>
            </w:r>
          </w:hyperlink>
        </w:p>
        <w:p w14:paraId="7FD01D4F" w14:textId="1E3AC609"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93" w:history="1">
            <w:r w:rsidR="005C1C7A" w:rsidRPr="0012720B">
              <w:rPr>
                <w:rStyle w:val="Hyperlink"/>
                <w:noProof/>
              </w:rPr>
              <w:t>2.6 Research Gap</w:t>
            </w:r>
            <w:r w:rsidR="005C1C7A">
              <w:rPr>
                <w:noProof/>
                <w:webHidden/>
              </w:rPr>
              <w:tab/>
            </w:r>
            <w:r w:rsidR="005C1C7A">
              <w:rPr>
                <w:noProof/>
                <w:webHidden/>
              </w:rPr>
              <w:fldChar w:fldCharType="begin"/>
            </w:r>
            <w:r w:rsidR="005C1C7A">
              <w:rPr>
                <w:noProof/>
                <w:webHidden/>
              </w:rPr>
              <w:instrText xml:space="preserve"> PAGEREF _Toc215652893 \h </w:instrText>
            </w:r>
            <w:r w:rsidR="005C1C7A">
              <w:rPr>
                <w:noProof/>
                <w:webHidden/>
              </w:rPr>
            </w:r>
            <w:r w:rsidR="005C1C7A">
              <w:rPr>
                <w:noProof/>
                <w:webHidden/>
              </w:rPr>
              <w:fldChar w:fldCharType="separate"/>
            </w:r>
            <w:r w:rsidR="005C1C7A">
              <w:rPr>
                <w:noProof/>
                <w:webHidden/>
              </w:rPr>
              <w:t>34</w:t>
            </w:r>
            <w:r w:rsidR="005C1C7A">
              <w:rPr>
                <w:noProof/>
                <w:webHidden/>
              </w:rPr>
              <w:fldChar w:fldCharType="end"/>
            </w:r>
          </w:hyperlink>
        </w:p>
        <w:p w14:paraId="6E014DB1" w14:textId="6BA05CA6"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94" w:history="1">
            <w:r w:rsidR="005C1C7A" w:rsidRPr="0012720B">
              <w:rPr>
                <w:rStyle w:val="Hyperlink"/>
                <w:noProof/>
              </w:rPr>
              <w:t>2.7 Summary</w:t>
            </w:r>
            <w:r w:rsidR="005C1C7A">
              <w:rPr>
                <w:noProof/>
                <w:webHidden/>
              </w:rPr>
              <w:tab/>
            </w:r>
            <w:r w:rsidR="005C1C7A">
              <w:rPr>
                <w:noProof/>
                <w:webHidden/>
              </w:rPr>
              <w:fldChar w:fldCharType="begin"/>
            </w:r>
            <w:r w:rsidR="005C1C7A">
              <w:rPr>
                <w:noProof/>
                <w:webHidden/>
              </w:rPr>
              <w:instrText xml:space="preserve"> PAGEREF _Toc215652894 \h </w:instrText>
            </w:r>
            <w:r w:rsidR="005C1C7A">
              <w:rPr>
                <w:noProof/>
                <w:webHidden/>
              </w:rPr>
            </w:r>
            <w:r w:rsidR="005C1C7A">
              <w:rPr>
                <w:noProof/>
                <w:webHidden/>
              </w:rPr>
              <w:fldChar w:fldCharType="separate"/>
            </w:r>
            <w:r w:rsidR="005C1C7A">
              <w:rPr>
                <w:noProof/>
                <w:webHidden/>
              </w:rPr>
              <w:t>34</w:t>
            </w:r>
            <w:r w:rsidR="005C1C7A">
              <w:rPr>
                <w:noProof/>
                <w:webHidden/>
              </w:rPr>
              <w:fldChar w:fldCharType="end"/>
            </w:r>
          </w:hyperlink>
        </w:p>
        <w:p w14:paraId="430E7204" w14:textId="705F7FCB"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95" w:history="1">
            <w:r w:rsidR="005C1C7A" w:rsidRPr="0012720B">
              <w:rPr>
                <w:rStyle w:val="Hyperlink"/>
                <w:noProof/>
              </w:rPr>
              <w:t>CHAPTER 3:</w:t>
            </w:r>
            <w:r w:rsidR="005C1C7A">
              <w:rPr>
                <w:noProof/>
                <w:webHidden/>
              </w:rPr>
              <w:tab/>
            </w:r>
            <w:r w:rsidR="005C1C7A">
              <w:rPr>
                <w:noProof/>
                <w:webHidden/>
              </w:rPr>
              <w:fldChar w:fldCharType="begin"/>
            </w:r>
            <w:r w:rsidR="005C1C7A">
              <w:rPr>
                <w:noProof/>
                <w:webHidden/>
              </w:rPr>
              <w:instrText xml:space="preserve"> PAGEREF _Toc215652895 \h </w:instrText>
            </w:r>
            <w:r w:rsidR="005C1C7A">
              <w:rPr>
                <w:noProof/>
                <w:webHidden/>
              </w:rPr>
            </w:r>
            <w:r w:rsidR="005C1C7A">
              <w:rPr>
                <w:noProof/>
                <w:webHidden/>
              </w:rPr>
              <w:fldChar w:fldCharType="separate"/>
            </w:r>
            <w:r w:rsidR="005C1C7A">
              <w:rPr>
                <w:noProof/>
                <w:webHidden/>
              </w:rPr>
              <w:t>36</w:t>
            </w:r>
            <w:r w:rsidR="005C1C7A">
              <w:rPr>
                <w:noProof/>
                <w:webHidden/>
              </w:rPr>
              <w:fldChar w:fldCharType="end"/>
            </w:r>
          </w:hyperlink>
        </w:p>
        <w:p w14:paraId="1C38E0E4" w14:textId="75E9ADC8"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896" w:history="1">
            <w:r w:rsidR="005C1C7A" w:rsidRPr="0012720B">
              <w:rPr>
                <w:rStyle w:val="Hyperlink"/>
                <w:noProof/>
              </w:rPr>
              <w:t>Research Methodology</w:t>
            </w:r>
            <w:r w:rsidR="005C1C7A">
              <w:rPr>
                <w:noProof/>
                <w:webHidden/>
              </w:rPr>
              <w:tab/>
            </w:r>
            <w:r w:rsidR="005C1C7A">
              <w:rPr>
                <w:noProof/>
                <w:webHidden/>
              </w:rPr>
              <w:fldChar w:fldCharType="begin"/>
            </w:r>
            <w:r w:rsidR="005C1C7A">
              <w:rPr>
                <w:noProof/>
                <w:webHidden/>
              </w:rPr>
              <w:instrText xml:space="preserve"> PAGEREF _Toc215652896 \h </w:instrText>
            </w:r>
            <w:r w:rsidR="005C1C7A">
              <w:rPr>
                <w:noProof/>
                <w:webHidden/>
              </w:rPr>
            </w:r>
            <w:r w:rsidR="005C1C7A">
              <w:rPr>
                <w:noProof/>
                <w:webHidden/>
              </w:rPr>
              <w:fldChar w:fldCharType="separate"/>
            </w:r>
            <w:r w:rsidR="005C1C7A">
              <w:rPr>
                <w:noProof/>
                <w:webHidden/>
              </w:rPr>
              <w:t>36</w:t>
            </w:r>
            <w:r w:rsidR="005C1C7A">
              <w:rPr>
                <w:noProof/>
                <w:webHidden/>
              </w:rPr>
              <w:fldChar w:fldCharType="end"/>
            </w:r>
          </w:hyperlink>
        </w:p>
        <w:p w14:paraId="4D1851B6" w14:textId="7C127345"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97" w:history="1">
            <w:r w:rsidR="005C1C7A" w:rsidRPr="0012720B">
              <w:rPr>
                <w:rStyle w:val="Hyperlink"/>
                <w:noProof/>
              </w:rPr>
              <w:t>3.1 Introduction</w:t>
            </w:r>
            <w:r w:rsidR="005C1C7A">
              <w:rPr>
                <w:noProof/>
                <w:webHidden/>
              </w:rPr>
              <w:tab/>
            </w:r>
            <w:r w:rsidR="005C1C7A">
              <w:rPr>
                <w:noProof/>
                <w:webHidden/>
              </w:rPr>
              <w:fldChar w:fldCharType="begin"/>
            </w:r>
            <w:r w:rsidR="005C1C7A">
              <w:rPr>
                <w:noProof/>
                <w:webHidden/>
              </w:rPr>
              <w:instrText xml:space="preserve"> PAGEREF _Toc215652897 \h </w:instrText>
            </w:r>
            <w:r w:rsidR="005C1C7A">
              <w:rPr>
                <w:noProof/>
                <w:webHidden/>
              </w:rPr>
            </w:r>
            <w:r w:rsidR="005C1C7A">
              <w:rPr>
                <w:noProof/>
                <w:webHidden/>
              </w:rPr>
              <w:fldChar w:fldCharType="separate"/>
            </w:r>
            <w:r w:rsidR="005C1C7A">
              <w:rPr>
                <w:noProof/>
                <w:webHidden/>
              </w:rPr>
              <w:t>36</w:t>
            </w:r>
            <w:r w:rsidR="005C1C7A">
              <w:rPr>
                <w:noProof/>
                <w:webHidden/>
              </w:rPr>
              <w:fldChar w:fldCharType="end"/>
            </w:r>
          </w:hyperlink>
        </w:p>
        <w:p w14:paraId="39038683" w14:textId="0C87E813"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898" w:history="1">
            <w:r w:rsidR="005C1C7A" w:rsidRPr="0012720B">
              <w:rPr>
                <w:rStyle w:val="Hyperlink"/>
                <w:noProof/>
              </w:rPr>
              <w:t>3.2 Research Design</w:t>
            </w:r>
            <w:r w:rsidR="005C1C7A">
              <w:rPr>
                <w:noProof/>
                <w:webHidden/>
              </w:rPr>
              <w:tab/>
            </w:r>
            <w:r w:rsidR="005C1C7A">
              <w:rPr>
                <w:noProof/>
                <w:webHidden/>
              </w:rPr>
              <w:fldChar w:fldCharType="begin"/>
            </w:r>
            <w:r w:rsidR="005C1C7A">
              <w:rPr>
                <w:noProof/>
                <w:webHidden/>
              </w:rPr>
              <w:instrText xml:space="preserve"> PAGEREF _Toc215652898 \h </w:instrText>
            </w:r>
            <w:r w:rsidR="005C1C7A">
              <w:rPr>
                <w:noProof/>
                <w:webHidden/>
              </w:rPr>
            </w:r>
            <w:r w:rsidR="005C1C7A">
              <w:rPr>
                <w:noProof/>
                <w:webHidden/>
              </w:rPr>
              <w:fldChar w:fldCharType="separate"/>
            </w:r>
            <w:r w:rsidR="005C1C7A">
              <w:rPr>
                <w:noProof/>
                <w:webHidden/>
              </w:rPr>
              <w:t>37</w:t>
            </w:r>
            <w:r w:rsidR="005C1C7A">
              <w:rPr>
                <w:noProof/>
                <w:webHidden/>
              </w:rPr>
              <w:fldChar w:fldCharType="end"/>
            </w:r>
          </w:hyperlink>
        </w:p>
        <w:p w14:paraId="574C2FCC" w14:textId="50D0FA32"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899" w:history="1">
            <w:r w:rsidR="005C1C7A" w:rsidRPr="0012720B">
              <w:rPr>
                <w:rStyle w:val="Hyperlink"/>
                <w:noProof/>
              </w:rPr>
              <w:t>3.2.1 Rationale for Using a Mixed-Methods Approach</w:t>
            </w:r>
            <w:r w:rsidR="005C1C7A">
              <w:rPr>
                <w:noProof/>
                <w:webHidden/>
              </w:rPr>
              <w:tab/>
            </w:r>
            <w:r w:rsidR="005C1C7A">
              <w:rPr>
                <w:noProof/>
                <w:webHidden/>
              </w:rPr>
              <w:fldChar w:fldCharType="begin"/>
            </w:r>
            <w:r w:rsidR="005C1C7A">
              <w:rPr>
                <w:noProof/>
                <w:webHidden/>
              </w:rPr>
              <w:instrText xml:space="preserve"> PAGEREF _Toc215652899 \h </w:instrText>
            </w:r>
            <w:r w:rsidR="005C1C7A">
              <w:rPr>
                <w:noProof/>
                <w:webHidden/>
              </w:rPr>
            </w:r>
            <w:r w:rsidR="005C1C7A">
              <w:rPr>
                <w:noProof/>
                <w:webHidden/>
              </w:rPr>
              <w:fldChar w:fldCharType="separate"/>
            </w:r>
            <w:r w:rsidR="005C1C7A">
              <w:rPr>
                <w:noProof/>
                <w:webHidden/>
              </w:rPr>
              <w:t>37</w:t>
            </w:r>
            <w:r w:rsidR="005C1C7A">
              <w:rPr>
                <w:noProof/>
                <w:webHidden/>
              </w:rPr>
              <w:fldChar w:fldCharType="end"/>
            </w:r>
          </w:hyperlink>
        </w:p>
        <w:p w14:paraId="20D287A4" w14:textId="3AC02543"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0" w:history="1">
            <w:r w:rsidR="005C1C7A" w:rsidRPr="0012720B">
              <w:rPr>
                <w:rStyle w:val="Hyperlink"/>
                <w:noProof/>
              </w:rPr>
              <w:t>3.2.2 Quantitative Component</w:t>
            </w:r>
            <w:r w:rsidR="005C1C7A">
              <w:rPr>
                <w:noProof/>
                <w:webHidden/>
              </w:rPr>
              <w:tab/>
            </w:r>
            <w:r w:rsidR="005C1C7A">
              <w:rPr>
                <w:noProof/>
                <w:webHidden/>
              </w:rPr>
              <w:fldChar w:fldCharType="begin"/>
            </w:r>
            <w:r w:rsidR="005C1C7A">
              <w:rPr>
                <w:noProof/>
                <w:webHidden/>
              </w:rPr>
              <w:instrText xml:space="preserve"> PAGEREF _Toc215652900 \h </w:instrText>
            </w:r>
            <w:r w:rsidR="005C1C7A">
              <w:rPr>
                <w:noProof/>
                <w:webHidden/>
              </w:rPr>
            </w:r>
            <w:r w:rsidR="005C1C7A">
              <w:rPr>
                <w:noProof/>
                <w:webHidden/>
              </w:rPr>
              <w:fldChar w:fldCharType="separate"/>
            </w:r>
            <w:r w:rsidR="005C1C7A">
              <w:rPr>
                <w:noProof/>
                <w:webHidden/>
              </w:rPr>
              <w:t>38</w:t>
            </w:r>
            <w:r w:rsidR="005C1C7A">
              <w:rPr>
                <w:noProof/>
                <w:webHidden/>
              </w:rPr>
              <w:fldChar w:fldCharType="end"/>
            </w:r>
          </w:hyperlink>
        </w:p>
        <w:p w14:paraId="47AA72F2" w14:textId="7AF13EC5"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1" w:history="1">
            <w:r w:rsidR="005C1C7A" w:rsidRPr="0012720B">
              <w:rPr>
                <w:rStyle w:val="Hyperlink"/>
                <w:noProof/>
              </w:rPr>
              <w:t>3.2.3 Qualitative Component</w:t>
            </w:r>
            <w:r w:rsidR="005C1C7A">
              <w:rPr>
                <w:noProof/>
                <w:webHidden/>
              </w:rPr>
              <w:tab/>
            </w:r>
            <w:r w:rsidR="005C1C7A">
              <w:rPr>
                <w:noProof/>
                <w:webHidden/>
              </w:rPr>
              <w:fldChar w:fldCharType="begin"/>
            </w:r>
            <w:r w:rsidR="005C1C7A">
              <w:rPr>
                <w:noProof/>
                <w:webHidden/>
              </w:rPr>
              <w:instrText xml:space="preserve"> PAGEREF _Toc215652901 \h </w:instrText>
            </w:r>
            <w:r w:rsidR="005C1C7A">
              <w:rPr>
                <w:noProof/>
                <w:webHidden/>
              </w:rPr>
            </w:r>
            <w:r w:rsidR="005C1C7A">
              <w:rPr>
                <w:noProof/>
                <w:webHidden/>
              </w:rPr>
              <w:fldChar w:fldCharType="separate"/>
            </w:r>
            <w:r w:rsidR="005C1C7A">
              <w:rPr>
                <w:noProof/>
                <w:webHidden/>
              </w:rPr>
              <w:t>38</w:t>
            </w:r>
            <w:r w:rsidR="005C1C7A">
              <w:rPr>
                <w:noProof/>
                <w:webHidden/>
              </w:rPr>
              <w:fldChar w:fldCharType="end"/>
            </w:r>
          </w:hyperlink>
        </w:p>
        <w:p w14:paraId="71089BFB" w14:textId="542F38AF"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2" w:history="1">
            <w:r w:rsidR="005C1C7A" w:rsidRPr="0012720B">
              <w:rPr>
                <w:rStyle w:val="Hyperlink"/>
                <w:noProof/>
              </w:rPr>
              <w:t>3.2.4 Integration of Approaches</w:t>
            </w:r>
            <w:r w:rsidR="005C1C7A">
              <w:rPr>
                <w:noProof/>
                <w:webHidden/>
              </w:rPr>
              <w:tab/>
            </w:r>
            <w:r w:rsidR="005C1C7A">
              <w:rPr>
                <w:noProof/>
                <w:webHidden/>
              </w:rPr>
              <w:fldChar w:fldCharType="begin"/>
            </w:r>
            <w:r w:rsidR="005C1C7A">
              <w:rPr>
                <w:noProof/>
                <w:webHidden/>
              </w:rPr>
              <w:instrText xml:space="preserve"> PAGEREF _Toc215652902 \h </w:instrText>
            </w:r>
            <w:r w:rsidR="005C1C7A">
              <w:rPr>
                <w:noProof/>
                <w:webHidden/>
              </w:rPr>
            </w:r>
            <w:r w:rsidR="005C1C7A">
              <w:rPr>
                <w:noProof/>
                <w:webHidden/>
              </w:rPr>
              <w:fldChar w:fldCharType="separate"/>
            </w:r>
            <w:r w:rsidR="005C1C7A">
              <w:rPr>
                <w:noProof/>
                <w:webHidden/>
              </w:rPr>
              <w:t>38</w:t>
            </w:r>
            <w:r w:rsidR="005C1C7A">
              <w:rPr>
                <w:noProof/>
                <w:webHidden/>
              </w:rPr>
              <w:fldChar w:fldCharType="end"/>
            </w:r>
          </w:hyperlink>
        </w:p>
        <w:p w14:paraId="7254E5DD" w14:textId="138D5579"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03" w:history="1">
            <w:r w:rsidR="005C1C7A" w:rsidRPr="0012720B">
              <w:rPr>
                <w:rStyle w:val="Hyperlink"/>
                <w:noProof/>
              </w:rPr>
              <w:t>3.3 Sampling Methods</w:t>
            </w:r>
            <w:r w:rsidR="005C1C7A">
              <w:rPr>
                <w:noProof/>
                <w:webHidden/>
              </w:rPr>
              <w:tab/>
            </w:r>
            <w:r w:rsidR="005C1C7A">
              <w:rPr>
                <w:noProof/>
                <w:webHidden/>
              </w:rPr>
              <w:fldChar w:fldCharType="begin"/>
            </w:r>
            <w:r w:rsidR="005C1C7A">
              <w:rPr>
                <w:noProof/>
                <w:webHidden/>
              </w:rPr>
              <w:instrText xml:space="preserve"> PAGEREF _Toc215652903 \h </w:instrText>
            </w:r>
            <w:r w:rsidR="005C1C7A">
              <w:rPr>
                <w:noProof/>
                <w:webHidden/>
              </w:rPr>
            </w:r>
            <w:r w:rsidR="005C1C7A">
              <w:rPr>
                <w:noProof/>
                <w:webHidden/>
              </w:rPr>
              <w:fldChar w:fldCharType="separate"/>
            </w:r>
            <w:r w:rsidR="005C1C7A">
              <w:rPr>
                <w:noProof/>
                <w:webHidden/>
              </w:rPr>
              <w:t>39</w:t>
            </w:r>
            <w:r w:rsidR="005C1C7A">
              <w:rPr>
                <w:noProof/>
                <w:webHidden/>
              </w:rPr>
              <w:fldChar w:fldCharType="end"/>
            </w:r>
          </w:hyperlink>
        </w:p>
        <w:p w14:paraId="3E034EE3" w14:textId="2A33F44A"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4" w:history="1">
            <w:r w:rsidR="005C1C7A" w:rsidRPr="0012720B">
              <w:rPr>
                <w:rStyle w:val="Hyperlink"/>
                <w:noProof/>
              </w:rPr>
              <w:t>3.3.1 Case Studies</w:t>
            </w:r>
            <w:r w:rsidR="005C1C7A">
              <w:rPr>
                <w:noProof/>
                <w:webHidden/>
              </w:rPr>
              <w:tab/>
            </w:r>
            <w:r w:rsidR="005C1C7A">
              <w:rPr>
                <w:noProof/>
                <w:webHidden/>
              </w:rPr>
              <w:fldChar w:fldCharType="begin"/>
            </w:r>
            <w:r w:rsidR="005C1C7A">
              <w:rPr>
                <w:noProof/>
                <w:webHidden/>
              </w:rPr>
              <w:instrText xml:space="preserve"> PAGEREF _Toc215652904 \h </w:instrText>
            </w:r>
            <w:r w:rsidR="005C1C7A">
              <w:rPr>
                <w:noProof/>
                <w:webHidden/>
              </w:rPr>
            </w:r>
            <w:r w:rsidR="005C1C7A">
              <w:rPr>
                <w:noProof/>
                <w:webHidden/>
              </w:rPr>
              <w:fldChar w:fldCharType="separate"/>
            </w:r>
            <w:r w:rsidR="005C1C7A">
              <w:rPr>
                <w:noProof/>
                <w:webHidden/>
              </w:rPr>
              <w:t>39</w:t>
            </w:r>
            <w:r w:rsidR="005C1C7A">
              <w:rPr>
                <w:noProof/>
                <w:webHidden/>
              </w:rPr>
              <w:fldChar w:fldCharType="end"/>
            </w:r>
          </w:hyperlink>
        </w:p>
        <w:p w14:paraId="1FF64132" w14:textId="59A1C9ED"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5" w:history="1">
            <w:r w:rsidR="005C1C7A" w:rsidRPr="0012720B">
              <w:rPr>
                <w:rStyle w:val="Hyperlink"/>
                <w:noProof/>
              </w:rPr>
              <w:t>3.3.1 Target Population</w:t>
            </w:r>
            <w:r w:rsidR="005C1C7A">
              <w:rPr>
                <w:noProof/>
                <w:webHidden/>
              </w:rPr>
              <w:tab/>
            </w:r>
            <w:r w:rsidR="005C1C7A">
              <w:rPr>
                <w:noProof/>
                <w:webHidden/>
              </w:rPr>
              <w:fldChar w:fldCharType="begin"/>
            </w:r>
            <w:r w:rsidR="005C1C7A">
              <w:rPr>
                <w:noProof/>
                <w:webHidden/>
              </w:rPr>
              <w:instrText xml:space="preserve"> PAGEREF _Toc215652905 \h </w:instrText>
            </w:r>
            <w:r w:rsidR="005C1C7A">
              <w:rPr>
                <w:noProof/>
                <w:webHidden/>
              </w:rPr>
            </w:r>
            <w:r w:rsidR="005C1C7A">
              <w:rPr>
                <w:noProof/>
                <w:webHidden/>
              </w:rPr>
              <w:fldChar w:fldCharType="separate"/>
            </w:r>
            <w:r w:rsidR="005C1C7A">
              <w:rPr>
                <w:noProof/>
                <w:webHidden/>
              </w:rPr>
              <w:t>39</w:t>
            </w:r>
            <w:r w:rsidR="005C1C7A">
              <w:rPr>
                <w:noProof/>
                <w:webHidden/>
              </w:rPr>
              <w:fldChar w:fldCharType="end"/>
            </w:r>
          </w:hyperlink>
        </w:p>
        <w:p w14:paraId="452FCFC4" w14:textId="422C3337"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6" w:history="1">
            <w:r w:rsidR="005C1C7A" w:rsidRPr="0012720B">
              <w:rPr>
                <w:rStyle w:val="Hyperlink"/>
                <w:noProof/>
              </w:rPr>
              <w:t>3.3.2 Sampling Techniques</w:t>
            </w:r>
            <w:r w:rsidR="005C1C7A">
              <w:rPr>
                <w:noProof/>
                <w:webHidden/>
              </w:rPr>
              <w:tab/>
            </w:r>
            <w:r w:rsidR="005C1C7A">
              <w:rPr>
                <w:noProof/>
                <w:webHidden/>
              </w:rPr>
              <w:fldChar w:fldCharType="begin"/>
            </w:r>
            <w:r w:rsidR="005C1C7A">
              <w:rPr>
                <w:noProof/>
                <w:webHidden/>
              </w:rPr>
              <w:instrText xml:space="preserve"> PAGEREF _Toc215652906 \h </w:instrText>
            </w:r>
            <w:r w:rsidR="005C1C7A">
              <w:rPr>
                <w:noProof/>
                <w:webHidden/>
              </w:rPr>
            </w:r>
            <w:r w:rsidR="005C1C7A">
              <w:rPr>
                <w:noProof/>
                <w:webHidden/>
              </w:rPr>
              <w:fldChar w:fldCharType="separate"/>
            </w:r>
            <w:r w:rsidR="005C1C7A">
              <w:rPr>
                <w:noProof/>
                <w:webHidden/>
              </w:rPr>
              <w:t>40</w:t>
            </w:r>
            <w:r w:rsidR="005C1C7A">
              <w:rPr>
                <w:noProof/>
                <w:webHidden/>
              </w:rPr>
              <w:fldChar w:fldCharType="end"/>
            </w:r>
          </w:hyperlink>
        </w:p>
        <w:p w14:paraId="5642594F" w14:textId="061AD321"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07" w:history="1">
            <w:r w:rsidR="005C1C7A" w:rsidRPr="0012720B">
              <w:rPr>
                <w:rStyle w:val="Hyperlink"/>
                <w:noProof/>
              </w:rPr>
              <w:t>3.4 Data Collection Instruments</w:t>
            </w:r>
            <w:r w:rsidR="005C1C7A">
              <w:rPr>
                <w:noProof/>
                <w:webHidden/>
              </w:rPr>
              <w:tab/>
            </w:r>
            <w:r w:rsidR="005C1C7A">
              <w:rPr>
                <w:noProof/>
                <w:webHidden/>
              </w:rPr>
              <w:fldChar w:fldCharType="begin"/>
            </w:r>
            <w:r w:rsidR="005C1C7A">
              <w:rPr>
                <w:noProof/>
                <w:webHidden/>
              </w:rPr>
              <w:instrText xml:space="preserve"> PAGEREF _Toc215652907 \h </w:instrText>
            </w:r>
            <w:r w:rsidR="005C1C7A">
              <w:rPr>
                <w:noProof/>
                <w:webHidden/>
              </w:rPr>
            </w:r>
            <w:r w:rsidR="005C1C7A">
              <w:rPr>
                <w:noProof/>
                <w:webHidden/>
              </w:rPr>
              <w:fldChar w:fldCharType="separate"/>
            </w:r>
            <w:r w:rsidR="005C1C7A">
              <w:rPr>
                <w:noProof/>
                <w:webHidden/>
              </w:rPr>
              <w:t>41</w:t>
            </w:r>
            <w:r w:rsidR="005C1C7A">
              <w:rPr>
                <w:noProof/>
                <w:webHidden/>
              </w:rPr>
              <w:fldChar w:fldCharType="end"/>
            </w:r>
          </w:hyperlink>
        </w:p>
        <w:p w14:paraId="4A691400" w14:textId="6380F6BB"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8" w:history="1">
            <w:r w:rsidR="005C1C7A" w:rsidRPr="0012720B">
              <w:rPr>
                <w:rStyle w:val="Hyperlink"/>
                <w:noProof/>
              </w:rPr>
              <w:t>3.4.1 Quantitative Instruments</w:t>
            </w:r>
            <w:r w:rsidR="005C1C7A">
              <w:rPr>
                <w:noProof/>
                <w:webHidden/>
              </w:rPr>
              <w:tab/>
            </w:r>
            <w:r w:rsidR="005C1C7A">
              <w:rPr>
                <w:noProof/>
                <w:webHidden/>
              </w:rPr>
              <w:fldChar w:fldCharType="begin"/>
            </w:r>
            <w:r w:rsidR="005C1C7A">
              <w:rPr>
                <w:noProof/>
                <w:webHidden/>
              </w:rPr>
              <w:instrText xml:space="preserve"> PAGEREF _Toc215652908 \h </w:instrText>
            </w:r>
            <w:r w:rsidR="005C1C7A">
              <w:rPr>
                <w:noProof/>
                <w:webHidden/>
              </w:rPr>
            </w:r>
            <w:r w:rsidR="005C1C7A">
              <w:rPr>
                <w:noProof/>
                <w:webHidden/>
              </w:rPr>
              <w:fldChar w:fldCharType="separate"/>
            </w:r>
            <w:r w:rsidR="005C1C7A">
              <w:rPr>
                <w:noProof/>
                <w:webHidden/>
              </w:rPr>
              <w:t>41</w:t>
            </w:r>
            <w:r w:rsidR="005C1C7A">
              <w:rPr>
                <w:noProof/>
                <w:webHidden/>
              </w:rPr>
              <w:fldChar w:fldCharType="end"/>
            </w:r>
          </w:hyperlink>
        </w:p>
        <w:p w14:paraId="3C3117D8" w14:textId="7044897A"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09" w:history="1">
            <w:r w:rsidR="005C1C7A" w:rsidRPr="0012720B">
              <w:rPr>
                <w:rStyle w:val="Hyperlink"/>
                <w:noProof/>
              </w:rPr>
              <w:t>3.4.2 Qualitative Instruments</w:t>
            </w:r>
            <w:r w:rsidR="005C1C7A">
              <w:rPr>
                <w:noProof/>
                <w:webHidden/>
              </w:rPr>
              <w:tab/>
            </w:r>
            <w:r w:rsidR="005C1C7A">
              <w:rPr>
                <w:noProof/>
                <w:webHidden/>
              </w:rPr>
              <w:fldChar w:fldCharType="begin"/>
            </w:r>
            <w:r w:rsidR="005C1C7A">
              <w:rPr>
                <w:noProof/>
                <w:webHidden/>
              </w:rPr>
              <w:instrText xml:space="preserve"> PAGEREF _Toc215652909 \h </w:instrText>
            </w:r>
            <w:r w:rsidR="005C1C7A">
              <w:rPr>
                <w:noProof/>
                <w:webHidden/>
              </w:rPr>
            </w:r>
            <w:r w:rsidR="005C1C7A">
              <w:rPr>
                <w:noProof/>
                <w:webHidden/>
              </w:rPr>
              <w:fldChar w:fldCharType="separate"/>
            </w:r>
            <w:r w:rsidR="005C1C7A">
              <w:rPr>
                <w:noProof/>
                <w:webHidden/>
              </w:rPr>
              <w:t>41</w:t>
            </w:r>
            <w:r w:rsidR="005C1C7A">
              <w:rPr>
                <w:noProof/>
                <w:webHidden/>
              </w:rPr>
              <w:fldChar w:fldCharType="end"/>
            </w:r>
          </w:hyperlink>
        </w:p>
        <w:p w14:paraId="426C9D20" w14:textId="2BF6D7DB"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0" w:history="1">
            <w:r w:rsidR="005C1C7A" w:rsidRPr="0012720B">
              <w:rPr>
                <w:rStyle w:val="Hyperlink"/>
                <w:noProof/>
              </w:rPr>
              <w:t>3.5 Methods for Data Analysis</w:t>
            </w:r>
            <w:r w:rsidR="005C1C7A">
              <w:rPr>
                <w:noProof/>
                <w:webHidden/>
              </w:rPr>
              <w:tab/>
            </w:r>
            <w:r w:rsidR="005C1C7A">
              <w:rPr>
                <w:noProof/>
                <w:webHidden/>
              </w:rPr>
              <w:fldChar w:fldCharType="begin"/>
            </w:r>
            <w:r w:rsidR="005C1C7A">
              <w:rPr>
                <w:noProof/>
                <w:webHidden/>
              </w:rPr>
              <w:instrText xml:space="preserve"> PAGEREF _Toc215652910 \h </w:instrText>
            </w:r>
            <w:r w:rsidR="005C1C7A">
              <w:rPr>
                <w:noProof/>
                <w:webHidden/>
              </w:rPr>
            </w:r>
            <w:r w:rsidR="005C1C7A">
              <w:rPr>
                <w:noProof/>
                <w:webHidden/>
              </w:rPr>
              <w:fldChar w:fldCharType="separate"/>
            </w:r>
            <w:r w:rsidR="005C1C7A">
              <w:rPr>
                <w:noProof/>
                <w:webHidden/>
              </w:rPr>
              <w:t>41</w:t>
            </w:r>
            <w:r w:rsidR="005C1C7A">
              <w:rPr>
                <w:noProof/>
                <w:webHidden/>
              </w:rPr>
              <w:fldChar w:fldCharType="end"/>
            </w:r>
          </w:hyperlink>
        </w:p>
        <w:p w14:paraId="5BD49E6E" w14:textId="2A6F0BF0"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11" w:history="1">
            <w:r w:rsidR="005C1C7A" w:rsidRPr="0012720B">
              <w:rPr>
                <w:rStyle w:val="Hyperlink"/>
                <w:noProof/>
              </w:rPr>
              <w:t>Chapter 4:</w:t>
            </w:r>
            <w:r w:rsidR="005C1C7A">
              <w:rPr>
                <w:noProof/>
                <w:webHidden/>
              </w:rPr>
              <w:tab/>
            </w:r>
            <w:r w:rsidR="005C1C7A">
              <w:rPr>
                <w:noProof/>
                <w:webHidden/>
              </w:rPr>
              <w:fldChar w:fldCharType="begin"/>
            </w:r>
            <w:r w:rsidR="005C1C7A">
              <w:rPr>
                <w:noProof/>
                <w:webHidden/>
              </w:rPr>
              <w:instrText xml:space="preserve"> PAGEREF _Toc215652911 \h </w:instrText>
            </w:r>
            <w:r w:rsidR="005C1C7A">
              <w:rPr>
                <w:noProof/>
                <w:webHidden/>
              </w:rPr>
            </w:r>
            <w:r w:rsidR="005C1C7A">
              <w:rPr>
                <w:noProof/>
                <w:webHidden/>
              </w:rPr>
              <w:fldChar w:fldCharType="separate"/>
            </w:r>
            <w:r w:rsidR="005C1C7A">
              <w:rPr>
                <w:noProof/>
                <w:webHidden/>
              </w:rPr>
              <w:t>42</w:t>
            </w:r>
            <w:r w:rsidR="005C1C7A">
              <w:rPr>
                <w:noProof/>
                <w:webHidden/>
              </w:rPr>
              <w:fldChar w:fldCharType="end"/>
            </w:r>
          </w:hyperlink>
        </w:p>
        <w:p w14:paraId="06CEB895" w14:textId="039DACB3"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12" w:history="1">
            <w:r w:rsidR="005C1C7A" w:rsidRPr="0012720B">
              <w:rPr>
                <w:rStyle w:val="Hyperlink"/>
                <w:noProof/>
              </w:rPr>
              <w:t>Data Analysis, Findings, and Discussion</w:t>
            </w:r>
            <w:r w:rsidR="005C1C7A">
              <w:rPr>
                <w:noProof/>
                <w:webHidden/>
              </w:rPr>
              <w:tab/>
            </w:r>
            <w:r w:rsidR="005C1C7A">
              <w:rPr>
                <w:noProof/>
                <w:webHidden/>
              </w:rPr>
              <w:fldChar w:fldCharType="begin"/>
            </w:r>
            <w:r w:rsidR="005C1C7A">
              <w:rPr>
                <w:noProof/>
                <w:webHidden/>
              </w:rPr>
              <w:instrText xml:space="preserve"> PAGEREF _Toc215652912 \h </w:instrText>
            </w:r>
            <w:r w:rsidR="005C1C7A">
              <w:rPr>
                <w:noProof/>
                <w:webHidden/>
              </w:rPr>
            </w:r>
            <w:r w:rsidR="005C1C7A">
              <w:rPr>
                <w:noProof/>
                <w:webHidden/>
              </w:rPr>
              <w:fldChar w:fldCharType="separate"/>
            </w:r>
            <w:r w:rsidR="005C1C7A">
              <w:rPr>
                <w:noProof/>
                <w:webHidden/>
              </w:rPr>
              <w:t>42</w:t>
            </w:r>
            <w:r w:rsidR="005C1C7A">
              <w:rPr>
                <w:noProof/>
                <w:webHidden/>
              </w:rPr>
              <w:fldChar w:fldCharType="end"/>
            </w:r>
          </w:hyperlink>
        </w:p>
        <w:p w14:paraId="438BDEB5" w14:textId="29348117"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3" w:history="1">
            <w:r w:rsidR="005C1C7A" w:rsidRPr="0012720B">
              <w:rPr>
                <w:rStyle w:val="Hyperlink"/>
                <w:noProof/>
              </w:rPr>
              <w:t>4.1 Introduction</w:t>
            </w:r>
            <w:r w:rsidR="005C1C7A">
              <w:rPr>
                <w:noProof/>
                <w:webHidden/>
              </w:rPr>
              <w:tab/>
            </w:r>
            <w:r w:rsidR="005C1C7A">
              <w:rPr>
                <w:noProof/>
                <w:webHidden/>
              </w:rPr>
              <w:fldChar w:fldCharType="begin"/>
            </w:r>
            <w:r w:rsidR="005C1C7A">
              <w:rPr>
                <w:noProof/>
                <w:webHidden/>
              </w:rPr>
              <w:instrText xml:space="preserve"> PAGEREF _Toc215652913 \h </w:instrText>
            </w:r>
            <w:r w:rsidR="005C1C7A">
              <w:rPr>
                <w:noProof/>
                <w:webHidden/>
              </w:rPr>
            </w:r>
            <w:r w:rsidR="005C1C7A">
              <w:rPr>
                <w:noProof/>
                <w:webHidden/>
              </w:rPr>
              <w:fldChar w:fldCharType="separate"/>
            </w:r>
            <w:r w:rsidR="005C1C7A">
              <w:rPr>
                <w:noProof/>
                <w:webHidden/>
              </w:rPr>
              <w:t>42</w:t>
            </w:r>
            <w:r w:rsidR="005C1C7A">
              <w:rPr>
                <w:noProof/>
                <w:webHidden/>
              </w:rPr>
              <w:fldChar w:fldCharType="end"/>
            </w:r>
          </w:hyperlink>
        </w:p>
        <w:p w14:paraId="67EB9088" w14:textId="5AD855D4"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14" w:history="1">
            <w:r w:rsidR="005C1C7A" w:rsidRPr="0012720B">
              <w:rPr>
                <w:rStyle w:val="Hyperlink"/>
                <w:noProof/>
              </w:rPr>
              <w:t>4.2 Data Preparation and Quality Assurance</w:t>
            </w:r>
            <w:r w:rsidR="005C1C7A">
              <w:rPr>
                <w:noProof/>
                <w:webHidden/>
              </w:rPr>
              <w:tab/>
            </w:r>
            <w:r w:rsidR="005C1C7A">
              <w:rPr>
                <w:noProof/>
                <w:webHidden/>
              </w:rPr>
              <w:fldChar w:fldCharType="begin"/>
            </w:r>
            <w:r w:rsidR="005C1C7A">
              <w:rPr>
                <w:noProof/>
                <w:webHidden/>
              </w:rPr>
              <w:instrText xml:space="preserve"> PAGEREF _Toc215652914 \h </w:instrText>
            </w:r>
            <w:r w:rsidR="005C1C7A">
              <w:rPr>
                <w:noProof/>
                <w:webHidden/>
              </w:rPr>
            </w:r>
            <w:r w:rsidR="005C1C7A">
              <w:rPr>
                <w:noProof/>
                <w:webHidden/>
              </w:rPr>
              <w:fldChar w:fldCharType="separate"/>
            </w:r>
            <w:r w:rsidR="005C1C7A">
              <w:rPr>
                <w:noProof/>
                <w:webHidden/>
              </w:rPr>
              <w:t>42</w:t>
            </w:r>
            <w:r w:rsidR="005C1C7A">
              <w:rPr>
                <w:noProof/>
                <w:webHidden/>
              </w:rPr>
              <w:fldChar w:fldCharType="end"/>
            </w:r>
          </w:hyperlink>
        </w:p>
        <w:p w14:paraId="531495E2" w14:textId="67215399"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5" w:history="1">
            <w:r w:rsidR="005C1C7A" w:rsidRPr="0012720B">
              <w:rPr>
                <w:rStyle w:val="Hyperlink"/>
                <w:noProof/>
              </w:rPr>
              <w:t>4.2.1 Data Cleaning</w:t>
            </w:r>
            <w:r w:rsidR="005C1C7A">
              <w:rPr>
                <w:noProof/>
                <w:webHidden/>
              </w:rPr>
              <w:tab/>
            </w:r>
            <w:r w:rsidR="005C1C7A">
              <w:rPr>
                <w:noProof/>
                <w:webHidden/>
              </w:rPr>
              <w:fldChar w:fldCharType="begin"/>
            </w:r>
            <w:r w:rsidR="005C1C7A">
              <w:rPr>
                <w:noProof/>
                <w:webHidden/>
              </w:rPr>
              <w:instrText xml:space="preserve"> PAGEREF _Toc215652915 \h </w:instrText>
            </w:r>
            <w:r w:rsidR="005C1C7A">
              <w:rPr>
                <w:noProof/>
                <w:webHidden/>
              </w:rPr>
            </w:r>
            <w:r w:rsidR="005C1C7A">
              <w:rPr>
                <w:noProof/>
                <w:webHidden/>
              </w:rPr>
              <w:fldChar w:fldCharType="separate"/>
            </w:r>
            <w:r w:rsidR="005C1C7A">
              <w:rPr>
                <w:noProof/>
                <w:webHidden/>
              </w:rPr>
              <w:t>43</w:t>
            </w:r>
            <w:r w:rsidR="005C1C7A">
              <w:rPr>
                <w:noProof/>
                <w:webHidden/>
              </w:rPr>
              <w:fldChar w:fldCharType="end"/>
            </w:r>
          </w:hyperlink>
        </w:p>
        <w:p w14:paraId="57C6EF31" w14:textId="2AE03030"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6" w:history="1">
            <w:r w:rsidR="005C1C7A" w:rsidRPr="0012720B">
              <w:rPr>
                <w:rStyle w:val="Hyperlink"/>
                <w:bCs/>
                <w:noProof/>
              </w:rPr>
              <w:t>4.2.2 Variable Construction</w:t>
            </w:r>
            <w:r w:rsidR="005C1C7A">
              <w:rPr>
                <w:noProof/>
                <w:webHidden/>
              </w:rPr>
              <w:tab/>
            </w:r>
            <w:r w:rsidR="005C1C7A">
              <w:rPr>
                <w:noProof/>
                <w:webHidden/>
              </w:rPr>
              <w:fldChar w:fldCharType="begin"/>
            </w:r>
            <w:r w:rsidR="005C1C7A">
              <w:rPr>
                <w:noProof/>
                <w:webHidden/>
              </w:rPr>
              <w:instrText xml:space="preserve"> PAGEREF _Toc215652916 \h </w:instrText>
            </w:r>
            <w:r w:rsidR="005C1C7A">
              <w:rPr>
                <w:noProof/>
                <w:webHidden/>
              </w:rPr>
            </w:r>
            <w:r w:rsidR="005C1C7A">
              <w:rPr>
                <w:noProof/>
                <w:webHidden/>
              </w:rPr>
              <w:fldChar w:fldCharType="separate"/>
            </w:r>
            <w:r w:rsidR="005C1C7A">
              <w:rPr>
                <w:noProof/>
                <w:webHidden/>
              </w:rPr>
              <w:t>43</w:t>
            </w:r>
            <w:r w:rsidR="005C1C7A">
              <w:rPr>
                <w:noProof/>
                <w:webHidden/>
              </w:rPr>
              <w:fldChar w:fldCharType="end"/>
            </w:r>
          </w:hyperlink>
        </w:p>
        <w:p w14:paraId="05D320D1" w14:textId="072EFDC6"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17" w:history="1">
            <w:r w:rsidR="005C1C7A" w:rsidRPr="0012720B">
              <w:rPr>
                <w:rStyle w:val="Hyperlink"/>
                <w:bCs/>
                <w:noProof/>
              </w:rPr>
              <w:t>4.3 Descriptive Statistics by Fire-incident Category</w:t>
            </w:r>
            <w:r w:rsidR="005C1C7A">
              <w:rPr>
                <w:noProof/>
                <w:webHidden/>
              </w:rPr>
              <w:tab/>
            </w:r>
            <w:r w:rsidR="005C1C7A">
              <w:rPr>
                <w:noProof/>
                <w:webHidden/>
              </w:rPr>
              <w:fldChar w:fldCharType="begin"/>
            </w:r>
            <w:r w:rsidR="005C1C7A">
              <w:rPr>
                <w:noProof/>
                <w:webHidden/>
              </w:rPr>
              <w:instrText xml:space="preserve"> PAGEREF _Toc215652917 \h </w:instrText>
            </w:r>
            <w:r w:rsidR="005C1C7A">
              <w:rPr>
                <w:noProof/>
                <w:webHidden/>
              </w:rPr>
            </w:r>
            <w:r w:rsidR="005C1C7A">
              <w:rPr>
                <w:noProof/>
                <w:webHidden/>
              </w:rPr>
              <w:fldChar w:fldCharType="separate"/>
            </w:r>
            <w:r w:rsidR="005C1C7A">
              <w:rPr>
                <w:noProof/>
                <w:webHidden/>
              </w:rPr>
              <w:t>46</w:t>
            </w:r>
            <w:r w:rsidR="005C1C7A">
              <w:rPr>
                <w:noProof/>
                <w:webHidden/>
              </w:rPr>
              <w:fldChar w:fldCharType="end"/>
            </w:r>
          </w:hyperlink>
        </w:p>
        <w:p w14:paraId="0F9EA8A0" w14:textId="249488A7"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8" w:history="1">
            <w:r w:rsidR="005C1C7A" w:rsidRPr="0012720B">
              <w:rPr>
                <w:rStyle w:val="Hyperlink"/>
                <w:noProof/>
              </w:rPr>
              <w:t>4.3.1 Residential Fires</w:t>
            </w:r>
            <w:r w:rsidR="005C1C7A">
              <w:rPr>
                <w:noProof/>
                <w:webHidden/>
              </w:rPr>
              <w:tab/>
            </w:r>
            <w:r w:rsidR="005C1C7A">
              <w:rPr>
                <w:noProof/>
                <w:webHidden/>
              </w:rPr>
              <w:fldChar w:fldCharType="begin"/>
            </w:r>
            <w:r w:rsidR="005C1C7A">
              <w:rPr>
                <w:noProof/>
                <w:webHidden/>
              </w:rPr>
              <w:instrText xml:space="preserve"> PAGEREF _Toc215652918 \h </w:instrText>
            </w:r>
            <w:r w:rsidR="005C1C7A">
              <w:rPr>
                <w:noProof/>
                <w:webHidden/>
              </w:rPr>
            </w:r>
            <w:r w:rsidR="005C1C7A">
              <w:rPr>
                <w:noProof/>
                <w:webHidden/>
              </w:rPr>
              <w:fldChar w:fldCharType="separate"/>
            </w:r>
            <w:r w:rsidR="005C1C7A">
              <w:rPr>
                <w:noProof/>
                <w:webHidden/>
              </w:rPr>
              <w:t>47</w:t>
            </w:r>
            <w:r w:rsidR="005C1C7A">
              <w:rPr>
                <w:noProof/>
                <w:webHidden/>
              </w:rPr>
              <w:fldChar w:fldCharType="end"/>
            </w:r>
          </w:hyperlink>
        </w:p>
        <w:p w14:paraId="54B7CC87" w14:textId="7DC45569"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19" w:history="1">
            <w:r w:rsidR="005C1C7A" w:rsidRPr="0012720B">
              <w:rPr>
                <w:rStyle w:val="Hyperlink"/>
                <w:noProof/>
              </w:rPr>
              <w:t>4.3.2 Market Fires</w:t>
            </w:r>
            <w:r w:rsidR="005C1C7A">
              <w:rPr>
                <w:noProof/>
                <w:webHidden/>
              </w:rPr>
              <w:tab/>
            </w:r>
            <w:r w:rsidR="005C1C7A">
              <w:rPr>
                <w:noProof/>
                <w:webHidden/>
              </w:rPr>
              <w:fldChar w:fldCharType="begin"/>
            </w:r>
            <w:r w:rsidR="005C1C7A">
              <w:rPr>
                <w:noProof/>
                <w:webHidden/>
              </w:rPr>
              <w:instrText xml:space="preserve"> PAGEREF _Toc215652919 \h </w:instrText>
            </w:r>
            <w:r w:rsidR="005C1C7A">
              <w:rPr>
                <w:noProof/>
                <w:webHidden/>
              </w:rPr>
            </w:r>
            <w:r w:rsidR="005C1C7A">
              <w:rPr>
                <w:noProof/>
                <w:webHidden/>
              </w:rPr>
              <w:fldChar w:fldCharType="separate"/>
            </w:r>
            <w:r w:rsidR="005C1C7A">
              <w:rPr>
                <w:noProof/>
                <w:webHidden/>
              </w:rPr>
              <w:t>48</w:t>
            </w:r>
            <w:r w:rsidR="005C1C7A">
              <w:rPr>
                <w:noProof/>
                <w:webHidden/>
              </w:rPr>
              <w:fldChar w:fldCharType="end"/>
            </w:r>
          </w:hyperlink>
        </w:p>
        <w:p w14:paraId="2A2E3F0C" w14:textId="3C65B7A3"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0" w:history="1">
            <w:r w:rsidR="005C1C7A" w:rsidRPr="0012720B">
              <w:rPr>
                <w:rStyle w:val="Hyperlink"/>
                <w:noProof/>
              </w:rPr>
              <w:t>4.3.4 Commercial Fires</w:t>
            </w:r>
            <w:r w:rsidR="005C1C7A">
              <w:rPr>
                <w:noProof/>
                <w:webHidden/>
              </w:rPr>
              <w:tab/>
            </w:r>
            <w:r w:rsidR="005C1C7A">
              <w:rPr>
                <w:noProof/>
                <w:webHidden/>
              </w:rPr>
              <w:fldChar w:fldCharType="begin"/>
            </w:r>
            <w:r w:rsidR="005C1C7A">
              <w:rPr>
                <w:noProof/>
                <w:webHidden/>
              </w:rPr>
              <w:instrText xml:space="preserve"> PAGEREF _Toc215652920 \h </w:instrText>
            </w:r>
            <w:r w:rsidR="005C1C7A">
              <w:rPr>
                <w:noProof/>
                <w:webHidden/>
              </w:rPr>
            </w:r>
            <w:r w:rsidR="005C1C7A">
              <w:rPr>
                <w:noProof/>
                <w:webHidden/>
              </w:rPr>
              <w:fldChar w:fldCharType="separate"/>
            </w:r>
            <w:r w:rsidR="005C1C7A">
              <w:rPr>
                <w:noProof/>
                <w:webHidden/>
              </w:rPr>
              <w:t>50</w:t>
            </w:r>
            <w:r w:rsidR="005C1C7A">
              <w:rPr>
                <w:noProof/>
                <w:webHidden/>
              </w:rPr>
              <w:fldChar w:fldCharType="end"/>
            </w:r>
          </w:hyperlink>
        </w:p>
        <w:p w14:paraId="4B356755" w14:textId="00F53484"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1" w:history="1">
            <w:r w:rsidR="005C1C7A" w:rsidRPr="0012720B">
              <w:rPr>
                <w:rStyle w:val="Hyperlink"/>
                <w:noProof/>
              </w:rPr>
              <w:t>4.3.5 Grass Fires</w:t>
            </w:r>
            <w:r w:rsidR="005C1C7A">
              <w:rPr>
                <w:noProof/>
                <w:webHidden/>
              </w:rPr>
              <w:tab/>
            </w:r>
            <w:r w:rsidR="005C1C7A">
              <w:rPr>
                <w:noProof/>
                <w:webHidden/>
              </w:rPr>
              <w:fldChar w:fldCharType="begin"/>
            </w:r>
            <w:r w:rsidR="005C1C7A">
              <w:rPr>
                <w:noProof/>
                <w:webHidden/>
              </w:rPr>
              <w:instrText xml:space="preserve"> PAGEREF _Toc215652921 \h </w:instrText>
            </w:r>
            <w:r w:rsidR="005C1C7A">
              <w:rPr>
                <w:noProof/>
                <w:webHidden/>
              </w:rPr>
            </w:r>
            <w:r w:rsidR="005C1C7A">
              <w:rPr>
                <w:noProof/>
                <w:webHidden/>
              </w:rPr>
              <w:fldChar w:fldCharType="separate"/>
            </w:r>
            <w:r w:rsidR="005C1C7A">
              <w:rPr>
                <w:noProof/>
                <w:webHidden/>
              </w:rPr>
              <w:t>51</w:t>
            </w:r>
            <w:r w:rsidR="005C1C7A">
              <w:rPr>
                <w:noProof/>
                <w:webHidden/>
              </w:rPr>
              <w:fldChar w:fldCharType="end"/>
            </w:r>
          </w:hyperlink>
        </w:p>
        <w:p w14:paraId="5AC9F5A7" w14:textId="419D3375"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2" w:history="1">
            <w:r w:rsidR="005C1C7A" w:rsidRPr="0012720B">
              <w:rPr>
                <w:rStyle w:val="Hyperlink"/>
                <w:noProof/>
              </w:rPr>
              <w:t>4.3.6 Dumpsite Fires</w:t>
            </w:r>
            <w:r w:rsidR="005C1C7A">
              <w:rPr>
                <w:noProof/>
                <w:webHidden/>
              </w:rPr>
              <w:tab/>
            </w:r>
            <w:r w:rsidR="005C1C7A">
              <w:rPr>
                <w:noProof/>
                <w:webHidden/>
              </w:rPr>
              <w:fldChar w:fldCharType="begin"/>
            </w:r>
            <w:r w:rsidR="005C1C7A">
              <w:rPr>
                <w:noProof/>
                <w:webHidden/>
              </w:rPr>
              <w:instrText xml:space="preserve"> PAGEREF _Toc215652922 \h </w:instrText>
            </w:r>
            <w:r w:rsidR="005C1C7A">
              <w:rPr>
                <w:noProof/>
                <w:webHidden/>
              </w:rPr>
            </w:r>
            <w:r w:rsidR="005C1C7A">
              <w:rPr>
                <w:noProof/>
                <w:webHidden/>
              </w:rPr>
              <w:fldChar w:fldCharType="separate"/>
            </w:r>
            <w:r w:rsidR="005C1C7A">
              <w:rPr>
                <w:noProof/>
                <w:webHidden/>
              </w:rPr>
              <w:t>52</w:t>
            </w:r>
            <w:r w:rsidR="005C1C7A">
              <w:rPr>
                <w:noProof/>
                <w:webHidden/>
              </w:rPr>
              <w:fldChar w:fldCharType="end"/>
            </w:r>
          </w:hyperlink>
        </w:p>
        <w:p w14:paraId="10E1F657" w14:textId="3D62F182"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3" w:history="1">
            <w:r w:rsidR="005C1C7A" w:rsidRPr="0012720B">
              <w:rPr>
                <w:rStyle w:val="Hyperlink"/>
                <w:noProof/>
              </w:rPr>
              <w:t>4.3.7 Home Industry Fires</w:t>
            </w:r>
            <w:r w:rsidR="005C1C7A">
              <w:rPr>
                <w:noProof/>
                <w:webHidden/>
              </w:rPr>
              <w:tab/>
            </w:r>
            <w:r w:rsidR="005C1C7A">
              <w:rPr>
                <w:noProof/>
                <w:webHidden/>
              </w:rPr>
              <w:fldChar w:fldCharType="begin"/>
            </w:r>
            <w:r w:rsidR="005C1C7A">
              <w:rPr>
                <w:noProof/>
                <w:webHidden/>
              </w:rPr>
              <w:instrText xml:space="preserve"> PAGEREF _Toc215652923 \h </w:instrText>
            </w:r>
            <w:r w:rsidR="005C1C7A">
              <w:rPr>
                <w:noProof/>
                <w:webHidden/>
              </w:rPr>
            </w:r>
            <w:r w:rsidR="005C1C7A">
              <w:rPr>
                <w:noProof/>
                <w:webHidden/>
              </w:rPr>
              <w:fldChar w:fldCharType="separate"/>
            </w:r>
            <w:r w:rsidR="005C1C7A">
              <w:rPr>
                <w:noProof/>
                <w:webHidden/>
              </w:rPr>
              <w:t>53</w:t>
            </w:r>
            <w:r w:rsidR="005C1C7A">
              <w:rPr>
                <w:noProof/>
                <w:webHidden/>
              </w:rPr>
              <w:fldChar w:fldCharType="end"/>
            </w:r>
          </w:hyperlink>
        </w:p>
        <w:p w14:paraId="47B425F2" w14:textId="4584A0A5"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24" w:history="1">
            <w:r w:rsidR="005C1C7A" w:rsidRPr="0012720B">
              <w:rPr>
                <w:rStyle w:val="Hyperlink"/>
                <w:noProof/>
              </w:rPr>
              <w:t>4.4 Geospatial Analysis: Hotspot Identification</w:t>
            </w:r>
            <w:r w:rsidR="005C1C7A">
              <w:rPr>
                <w:noProof/>
                <w:webHidden/>
              </w:rPr>
              <w:tab/>
            </w:r>
            <w:r w:rsidR="005C1C7A">
              <w:rPr>
                <w:noProof/>
                <w:webHidden/>
              </w:rPr>
              <w:fldChar w:fldCharType="begin"/>
            </w:r>
            <w:r w:rsidR="005C1C7A">
              <w:rPr>
                <w:noProof/>
                <w:webHidden/>
              </w:rPr>
              <w:instrText xml:space="preserve"> PAGEREF _Toc215652924 \h </w:instrText>
            </w:r>
            <w:r w:rsidR="005C1C7A">
              <w:rPr>
                <w:noProof/>
                <w:webHidden/>
              </w:rPr>
            </w:r>
            <w:r w:rsidR="005C1C7A">
              <w:rPr>
                <w:noProof/>
                <w:webHidden/>
              </w:rPr>
              <w:fldChar w:fldCharType="separate"/>
            </w:r>
            <w:r w:rsidR="005C1C7A">
              <w:rPr>
                <w:noProof/>
                <w:webHidden/>
              </w:rPr>
              <w:t>54</w:t>
            </w:r>
            <w:r w:rsidR="005C1C7A">
              <w:rPr>
                <w:noProof/>
                <w:webHidden/>
              </w:rPr>
              <w:fldChar w:fldCharType="end"/>
            </w:r>
          </w:hyperlink>
        </w:p>
        <w:p w14:paraId="6520938C" w14:textId="0F706857"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5" w:history="1">
            <w:r w:rsidR="005C1C7A" w:rsidRPr="0012720B">
              <w:rPr>
                <w:rStyle w:val="Hyperlink"/>
                <w:noProof/>
              </w:rPr>
              <w:t>4.4.1 Fire  Hotspot Maps and Interpretation</w:t>
            </w:r>
            <w:r w:rsidR="005C1C7A">
              <w:rPr>
                <w:noProof/>
                <w:webHidden/>
              </w:rPr>
              <w:tab/>
            </w:r>
            <w:r w:rsidR="005C1C7A">
              <w:rPr>
                <w:noProof/>
                <w:webHidden/>
              </w:rPr>
              <w:fldChar w:fldCharType="begin"/>
            </w:r>
            <w:r w:rsidR="005C1C7A">
              <w:rPr>
                <w:noProof/>
                <w:webHidden/>
              </w:rPr>
              <w:instrText xml:space="preserve"> PAGEREF _Toc215652925 \h </w:instrText>
            </w:r>
            <w:r w:rsidR="005C1C7A">
              <w:rPr>
                <w:noProof/>
                <w:webHidden/>
              </w:rPr>
            </w:r>
            <w:r w:rsidR="005C1C7A">
              <w:rPr>
                <w:noProof/>
                <w:webHidden/>
              </w:rPr>
              <w:fldChar w:fldCharType="separate"/>
            </w:r>
            <w:r w:rsidR="005C1C7A">
              <w:rPr>
                <w:noProof/>
                <w:webHidden/>
              </w:rPr>
              <w:t>55</w:t>
            </w:r>
            <w:r w:rsidR="005C1C7A">
              <w:rPr>
                <w:noProof/>
                <w:webHidden/>
              </w:rPr>
              <w:fldChar w:fldCharType="end"/>
            </w:r>
          </w:hyperlink>
        </w:p>
        <w:p w14:paraId="2DC94B82" w14:textId="58A53C84"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26" w:history="1">
            <w:r w:rsidR="005C1C7A" w:rsidRPr="0012720B">
              <w:rPr>
                <w:rStyle w:val="Hyperlink"/>
                <w:noProof/>
              </w:rPr>
              <w:t>4.4.3 Hotspot Statistics</w:t>
            </w:r>
            <w:r w:rsidR="005C1C7A">
              <w:rPr>
                <w:noProof/>
                <w:webHidden/>
              </w:rPr>
              <w:tab/>
            </w:r>
            <w:r w:rsidR="005C1C7A">
              <w:rPr>
                <w:noProof/>
                <w:webHidden/>
              </w:rPr>
              <w:fldChar w:fldCharType="begin"/>
            </w:r>
            <w:r w:rsidR="005C1C7A">
              <w:rPr>
                <w:noProof/>
                <w:webHidden/>
              </w:rPr>
              <w:instrText xml:space="preserve"> PAGEREF _Toc215652926 \h </w:instrText>
            </w:r>
            <w:r w:rsidR="005C1C7A">
              <w:rPr>
                <w:noProof/>
                <w:webHidden/>
              </w:rPr>
            </w:r>
            <w:r w:rsidR="005C1C7A">
              <w:rPr>
                <w:noProof/>
                <w:webHidden/>
              </w:rPr>
              <w:fldChar w:fldCharType="separate"/>
            </w:r>
            <w:r w:rsidR="005C1C7A">
              <w:rPr>
                <w:noProof/>
                <w:webHidden/>
              </w:rPr>
              <w:t>57</w:t>
            </w:r>
            <w:r w:rsidR="005C1C7A">
              <w:rPr>
                <w:noProof/>
                <w:webHidden/>
              </w:rPr>
              <w:fldChar w:fldCharType="end"/>
            </w:r>
          </w:hyperlink>
        </w:p>
        <w:p w14:paraId="1E62986A" w14:textId="0A63AEE2"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27" w:history="1">
            <w:r w:rsidR="005C1C7A" w:rsidRPr="0012720B">
              <w:rPr>
                <w:rStyle w:val="Hyperlink"/>
                <w:rFonts w:eastAsia="Calibri"/>
                <w:noProof/>
                <w:lang w:val="en-ZW"/>
              </w:rPr>
              <w:t>4.5 Analysis of Questionnaires</w:t>
            </w:r>
            <w:r w:rsidR="005C1C7A">
              <w:rPr>
                <w:noProof/>
                <w:webHidden/>
              </w:rPr>
              <w:tab/>
            </w:r>
            <w:r w:rsidR="005C1C7A">
              <w:rPr>
                <w:noProof/>
                <w:webHidden/>
              </w:rPr>
              <w:fldChar w:fldCharType="begin"/>
            </w:r>
            <w:r w:rsidR="005C1C7A">
              <w:rPr>
                <w:noProof/>
                <w:webHidden/>
              </w:rPr>
              <w:instrText xml:space="preserve"> PAGEREF _Toc215652927 \h </w:instrText>
            </w:r>
            <w:r w:rsidR="005C1C7A">
              <w:rPr>
                <w:noProof/>
                <w:webHidden/>
              </w:rPr>
            </w:r>
            <w:r w:rsidR="005C1C7A">
              <w:rPr>
                <w:noProof/>
                <w:webHidden/>
              </w:rPr>
              <w:fldChar w:fldCharType="separate"/>
            </w:r>
            <w:r w:rsidR="005C1C7A">
              <w:rPr>
                <w:noProof/>
                <w:webHidden/>
              </w:rPr>
              <w:t>57</w:t>
            </w:r>
            <w:r w:rsidR="005C1C7A">
              <w:rPr>
                <w:noProof/>
                <w:webHidden/>
              </w:rPr>
              <w:fldChar w:fldCharType="end"/>
            </w:r>
          </w:hyperlink>
        </w:p>
        <w:p w14:paraId="477DDA59" w14:textId="20C42850"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8" w:history="1">
            <w:r w:rsidR="005C1C7A" w:rsidRPr="0012720B">
              <w:rPr>
                <w:rStyle w:val="Hyperlink"/>
                <w:rFonts w:eastAsia="Calibri"/>
                <w:noProof/>
                <w:lang w:val="en-ZW"/>
              </w:rPr>
              <w:t>4.5.1 Demographics</w:t>
            </w:r>
            <w:r w:rsidR="005C1C7A">
              <w:rPr>
                <w:noProof/>
                <w:webHidden/>
              </w:rPr>
              <w:tab/>
            </w:r>
            <w:r w:rsidR="005C1C7A">
              <w:rPr>
                <w:noProof/>
                <w:webHidden/>
              </w:rPr>
              <w:fldChar w:fldCharType="begin"/>
            </w:r>
            <w:r w:rsidR="005C1C7A">
              <w:rPr>
                <w:noProof/>
                <w:webHidden/>
              </w:rPr>
              <w:instrText xml:space="preserve"> PAGEREF _Toc215652928 \h </w:instrText>
            </w:r>
            <w:r w:rsidR="005C1C7A">
              <w:rPr>
                <w:noProof/>
                <w:webHidden/>
              </w:rPr>
            </w:r>
            <w:r w:rsidR="005C1C7A">
              <w:rPr>
                <w:noProof/>
                <w:webHidden/>
              </w:rPr>
              <w:fldChar w:fldCharType="separate"/>
            </w:r>
            <w:r w:rsidR="005C1C7A">
              <w:rPr>
                <w:noProof/>
                <w:webHidden/>
              </w:rPr>
              <w:t>57</w:t>
            </w:r>
            <w:r w:rsidR="005C1C7A">
              <w:rPr>
                <w:noProof/>
                <w:webHidden/>
              </w:rPr>
              <w:fldChar w:fldCharType="end"/>
            </w:r>
          </w:hyperlink>
        </w:p>
        <w:p w14:paraId="422E58E1" w14:textId="198F8AFC"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29" w:history="1">
            <w:r w:rsidR="005C1C7A" w:rsidRPr="0012720B">
              <w:rPr>
                <w:rStyle w:val="Hyperlink"/>
                <w:rFonts w:eastAsia="Calibri"/>
                <w:noProof/>
              </w:rPr>
              <w:t xml:space="preserve">4.5.4 </w:t>
            </w:r>
            <w:r w:rsidR="005C1C7A" w:rsidRPr="0012720B">
              <w:rPr>
                <w:rStyle w:val="Hyperlink"/>
                <w:rFonts w:eastAsia="Calibri"/>
                <w:noProof/>
                <w:lang w:val="en-ZW"/>
              </w:rPr>
              <w:t>Impact of fire hazards</w:t>
            </w:r>
            <w:r w:rsidR="005C1C7A">
              <w:rPr>
                <w:noProof/>
                <w:webHidden/>
              </w:rPr>
              <w:tab/>
            </w:r>
            <w:r w:rsidR="005C1C7A">
              <w:rPr>
                <w:noProof/>
                <w:webHidden/>
              </w:rPr>
              <w:fldChar w:fldCharType="begin"/>
            </w:r>
            <w:r w:rsidR="005C1C7A">
              <w:rPr>
                <w:noProof/>
                <w:webHidden/>
              </w:rPr>
              <w:instrText xml:space="preserve"> PAGEREF _Toc215652929 \h </w:instrText>
            </w:r>
            <w:r w:rsidR="005C1C7A">
              <w:rPr>
                <w:noProof/>
                <w:webHidden/>
              </w:rPr>
            </w:r>
            <w:r w:rsidR="005C1C7A">
              <w:rPr>
                <w:noProof/>
                <w:webHidden/>
              </w:rPr>
              <w:fldChar w:fldCharType="separate"/>
            </w:r>
            <w:r w:rsidR="005C1C7A">
              <w:rPr>
                <w:noProof/>
                <w:webHidden/>
              </w:rPr>
              <w:t>67</w:t>
            </w:r>
            <w:r w:rsidR="005C1C7A">
              <w:rPr>
                <w:noProof/>
                <w:webHidden/>
              </w:rPr>
              <w:fldChar w:fldCharType="end"/>
            </w:r>
          </w:hyperlink>
        </w:p>
        <w:p w14:paraId="071493B2" w14:textId="2A0F0098"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0" w:history="1">
            <w:r w:rsidR="005C1C7A" w:rsidRPr="0012720B">
              <w:rPr>
                <w:rStyle w:val="Hyperlink"/>
                <w:rFonts w:eastAsia="Calibri"/>
                <w:noProof/>
                <w:lang w:val="en-ZW"/>
              </w:rPr>
              <w:t>4.5.5 Response</w:t>
            </w:r>
            <w:r w:rsidR="005C1C7A">
              <w:rPr>
                <w:noProof/>
                <w:webHidden/>
              </w:rPr>
              <w:tab/>
            </w:r>
            <w:r w:rsidR="005C1C7A">
              <w:rPr>
                <w:noProof/>
                <w:webHidden/>
              </w:rPr>
              <w:fldChar w:fldCharType="begin"/>
            </w:r>
            <w:r w:rsidR="005C1C7A">
              <w:rPr>
                <w:noProof/>
                <w:webHidden/>
              </w:rPr>
              <w:instrText xml:space="preserve"> PAGEREF _Toc215652930 \h </w:instrText>
            </w:r>
            <w:r w:rsidR="005C1C7A">
              <w:rPr>
                <w:noProof/>
                <w:webHidden/>
              </w:rPr>
            </w:r>
            <w:r w:rsidR="005C1C7A">
              <w:rPr>
                <w:noProof/>
                <w:webHidden/>
              </w:rPr>
              <w:fldChar w:fldCharType="separate"/>
            </w:r>
            <w:r w:rsidR="005C1C7A">
              <w:rPr>
                <w:noProof/>
                <w:webHidden/>
              </w:rPr>
              <w:t>68</w:t>
            </w:r>
            <w:r w:rsidR="005C1C7A">
              <w:rPr>
                <w:noProof/>
                <w:webHidden/>
              </w:rPr>
              <w:fldChar w:fldCharType="end"/>
            </w:r>
          </w:hyperlink>
        </w:p>
        <w:p w14:paraId="3B72D2FB" w14:textId="70D0F45C"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31" w:history="1">
            <w:r w:rsidR="005C1C7A" w:rsidRPr="0012720B">
              <w:rPr>
                <w:rStyle w:val="Hyperlink"/>
                <w:bCs/>
                <w:noProof/>
              </w:rPr>
              <w:t>4.6 Analysis of Fire Incident Tables</w:t>
            </w:r>
            <w:r w:rsidR="005C1C7A">
              <w:rPr>
                <w:noProof/>
                <w:webHidden/>
              </w:rPr>
              <w:tab/>
            </w:r>
            <w:r w:rsidR="005C1C7A">
              <w:rPr>
                <w:noProof/>
                <w:webHidden/>
              </w:rPr>
              <w:fldChar w:fldCharType="begin"/>
            </w:r>
            <w:r w:rsidR="005C1C7A">
              <w:rPr>
                <w:noProof/>
                <w:webHidden/>
              </w:rPr>
              <w:instrText xml:space="preserve"> PAGEREF _Toc215652931 \h </w:instrText>
            </w:r>
            <w:r w:rsidR="005C1C7A">
              <w:rPr>
                <w:noProof/>
                <w:webHidden/>
              </w:rPr>
            </w:r>
            <w:r w:rsidR="005C1C7A">
              <w:rPr>
                <w:noProof/>
                <w:webHidden/>
              </w:rPr>
              <w:fldChar w:fldCharType="separate"/>
            </w:r>
            <w:r w:rsidR="005C1C7A">
              <w:rPr>
                <w:noProof/>
                <w:webHidden/>
              </w:rPr>
              <w:t>73</w:t>
            </w:r>
            <w:r w:rsidR="005C1C7A">
              <w:rPr>
                <w:noProof/>
                <w:webHidden/>
              </w:rPr>
              <w:fldChar w:fldCharType="end"/>
            </w:r>
          </w:hyperlink>
        </w:p>
        <w:p w14:paraId="3F14AD51" w14:textId="3A6DFC69"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2" w:history="1">
            <w:r w:rsidR="005C1C7A" w:rsidRPr="0012720B">
              <w:rPr>
                <w:rStyle w:val="Hyperlink"/>
                <w:noProof/>
              </w:rPr>
              <w:t>4.6.1 Incident Counts and Trends</w:t>
            </w:r>
            <w:r w:rsidR="005C1C7A">
              <w:rPr>
                <w:noProof/>
                <w:webHidden/>
              </w:rPr>
              <w:tab/>
            </w:r>
            <w:r w:rsidR="005C1C7A">
              <w:rPr>
                <w:noProof/>
                <w:webHidden/>
              </w:rPr>
              <w:fldChar w:fldCharType="begin"/>
            </w:r>
            <w:r w:rsidR="005C1C7A">
              <w:rPr>
                <w:noProof/>
                <w:webHidden/>
              </w:rPr>
              <w:instrText xml:space="preserve"> PAGEREF _Toc215652932 \h </w:instrText>
            </w:r>
            <w:r w:rsidR="005C1C7A">
              <w:rPr>
                <w:noProof/>
                <w:webHidden/>
              </w:rPr>
            </w:r>
            <w:r w:rsidR="005C1C7A">
              <w:rPr>
                <w:noProof/>
                <w:webHidden/>
              </w:rPr>
              <w:fldChar w:fldCharType="separate"/>
            </w:r>
            <w:r w:rsidR="005C1C7A">
              <w:rPr>
                <w:noProof/>
                <w:webHidden/>
              </w:rPr>
              <w:t>73</w:t>
            </w:r>
            <w:r w:rsidR="005C1C7A">
              <w:rPr>
                <w:noProof/>
                <w:webHidden/>
              </w:rPr>
              <w:fldChar w:fldCharType="end"/>
            </w:r>
          </w:hyperlink>
        </w:p>
        <w:p w14:paraId="1749D6DE" w14:textId="54932F24"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3" w:history="1">
            <w:r w:rsidR="005C1C7A" w:rsidRPr="0012720B">
              <w:rPr>
                <w:rStyle w:val="Hyperlink"/>
                <w:noProof/>
              </w:rPr>
              <w:t>4.6.2 Losses and Impacts</w:t>
            </w:r>
            <w:r w:rsidR="005C1C7A">
              <w:rPr>
                <w:noProof/>
                <w:webHidden/>
              </w:rPr>
              <w:tab/>
            </w:r>
            <w:r w:rsidR="005C1C7A">
              <w:rPr>
                <w:noProof/>
                <w:webHidden/>
              </w:rPr>
              <w:fldChar w:fldCharType="begin"/>
            </w:r>
            <w:r w:rsidR="005C1C7A">
              <w:rPr>
                <w:noProof/>
                <w:webHidden/>
              </w:rPr>
              <w:instrText xml:space="preserve"> PAGEREF _Toc215652933 \h </w:instrText>
            </w:r>
            <w:r w:rsidR="005C1C7A">
              <w:rPr>
                <w:noProof/>
                <w:webHidden/>
              </w:rPr>
            </w:r>
            <w:r w:rsidR="005C1C7A">
              <w:rPr>
                <w:noProof/>
                <w:webHidden/>
              </w:rPr>
              <w:fldChar w:fldCharType="separate"/>
            </w:r>
            <w:r w:rsidR="005C1C7A">
              <w:rPr>
                <w:noProof/>
                <w:webHidden/>
              </w:rPr>
              <w:t>74</w:t>
            </w:r>
            <w:r w:rsidR="005C1C7A">
              <w:rPr>
                <w:noProof/>
                <w:webHidden/>
              </w:rPr>
              <w:fldChar w:fldCharType="end"/>
            </w:r>
          </w:hyperlink>
        </w:p>
        <w:p w14:paraId="06C4BF58" w14:textId="425F29BD"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4" w:history="1">
            <w:r w:rsidR="005C1C7A" w:rsidRPr="0012720B">
              <w:rPr>
                <w:rStyle w:val="Hyperlink"/>
                <w:noProof/>
              </w:rPr>
              <w:t>4.6.1 Incident Counts and Trends</w:t>
            </w:r>
            <w:r w:rsidR="005C1C7A">
              <w:rPr>
                <w:noProof/>
                <w:webHidden/>
              </w:rPr>
              <w:tab/>
            </w:r>
            <w:r w:rsidR="005C1C7A">
              <w:rPr>
                <w:noProof/>
                <w:webHidden/>
              </w:rPr>
              <w:fldChar w:fldCharType="begin"/>
            </w:r>
            <w:r w:rsidR="005C1C7A">
              <w:rPr>
                <w:noProof/>
                <w:webHidden/>
              </w:rPr>
              <w:instrText xml:space="preserve"> PAGEREF _Toc215652934 \h </w:instrText>
            </w:r>
            <w:r w:rsidR="005C1C7A">
              <w:rPr>
                <w:noProof/>
                <w:webHidden/>
              </w:rPr>
            </w:r>
            <w:r w:rsidR="005C1C7A">
              <w:rPr>
                <w:noProof/>
                <w:webHidden/>
              </w:rPr>
              <w:fldChar w:fldCharType="separate"/>
            </w:r>
            <w:r w:rsidR="005C1C7A">
              <w:rPr>
                <w:noProof/>
                <w:webHidden/>
              </w:rPr>
              <w:t>74</w:t>
            </w:r>
            <w:r w:rsidR="005C1C7A">
              <w:rPr>
                <w:noProof/>
                <w:webHidden/>
              </w:rPr>
              <w:fldChar w:fldCharType="end"/>
            </w:r>
          </w:hyperlink>
        </w:p>
        <w:p w14:paraId="44ED4B64" w14:textId="57CE083E"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5" w:history="1">
            <w:r w:rsidR="005C1C7A" w:rsidRPr="0012720B">
              <w:rPr>
                <w:rStyle w:val="Hyperlink"/>
                <w:noProof/>
              </w:rPr>
              <w:t>4.6.3 Response Metrics</w:t>
            </w:r>
            <w:r w:rsidR="005C1C7A">
              <w:rPr>
                <w:noProof/>
                <w:webHidden/>
              </w:rPr>
              <w:tab/>
            </w:r>
            <w:r w:rsidR="005C1C7A">
              <w:rPr>
                <w:noProof/>
                <w:webHidden/>
              </w:rPr>
              <w:fldChar w:fldCharType="begin"/>
            </w:r>
            <w:r w:rsidR="005C1C7A">
              <w:rPr>
                <w:noProof/>
                <w:webHidden/>
              </w:rPr>
              <w:instrText xml:space="preserve"> PAGEREF _Toc215652935 \h </w:instrText>
            </w:r>
            <w:r w:rsidR="005C1C7A">
              <w:rPr>
                <w:noProof/>
                <w:webHidden/>
              </w:rPr>
            </w:r>
            <w:r w:rsidR="005C1C7A">
              <w:rPr>
                <w:noProof/>
                <w:webHidden/>
              </w:rPr>
              <w:fldChar w:fldCharType="separate"/>
            </w:r>
            <w:r w:rsidR="005C1C7A">
              <w:rPr>
                <w:noProof/>
                <w:webHidden/>
              </w:rPr>
              <w:t>76</w:t>
            </w:r>
            <w:r w:rsidR="005C1C7A">
              <w:rPr>
                <w:noProof/>
                <w:webHidden/>
              </w:rPr>
              <w:fldChar w:fldCharType="end"/>
            </w:r>
          </w:hyperlink>
        </w:p>
        <w:p w14:paraId="5E720C8D" w14:textId="3758944F"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6" w:history="1">
            <w:r w:rsidR="005C1C7A" w:rsidRPr="0012720B">
              <w:rPr>
                <w:rStyle w:val="Hyperlink"/>
                <w:noProof/>
              </w:rPr>
              <w:t>4.6.4 Prevention Activities</w:t>
            </w:r>
            <w:r w:rsidR="005C1C7A">
              <w:rPr>
                <w:noProof/>
                <w:webHidden/>
              </w:rPr>
              <w:tab/>
            </w:r>
            <w:r w:rsidR="005C1C7A">
              <w:rPr>
                <w:noProof/>
                <w:webHidden/>
              </w:rPr>
              <w:fldChar w:fldCharType="begin"/>
            </w:r>
            <w:r w:rsidR="005C1C7A">
              <w:rPr>
                <w:noProof/>
                <w:webHidden/>
              </w:rPr>
              <w:instrText xml:space="preserve"> PAGEREF _Toc215652936 \h </w:instrText>
            </w:r>
            <w:r w:rsidR="005C1C7A">
              <w:rPr>
                <w:noProof/>
                <w:webHidden/>
              </w:rPr>
            </w:r>
            <w:r w:rsidR="005C1C7A">
              <w:rPr>
                <w:noProof/>
                <w:webHidden/>
              </w:rPr>
              <w:fldChar w:fldCharType="separate"/>
            </w:r>
            <w:r w:rsidR="005C1C7A">
              <w:rPr>
                <w:noProof/>
                <w:webHidden/>
              </w:rPr>
              <w:t>79</w:t>
            </w:r>
            <w:r w:rsidR="005C1C7A">
              <w:rPr>
                <w:noProof/>
                <w:webHidden/>
              </w:rPr>
              <w:fldChar w:fldCharType="end"/>
            </w:r>
          </w:hyperlink>
        </w:p>
        <w:p w14:paraId="5858532A" w14:textId="66844DDF"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37" w:history="1">
            <w:r w:rsidR="005C1C7A" w:rsidRPr="0012720B">
              <w:rPr>
                <w:rStyle w:val="Hyperlink"/>
                <w:bCs/>
                <w:noProof/>
              </w:rPr>
              <w:t>4.7 Evaluation of Fire Prevention and Response Mechanisms</w:t>
            </w:r>
            <w:r w:rsidR="005C1C7A">
              <w:rPr>
                <w:noProof/>
                <w:webHidden/>
              </w:rPr>
              <w:tab/>
            </w:r>
            <w:r w:rsidR="005C1C7A">
              <w:rPr>
                <w:noProof/>
                <w:webHidden/>
              </w:rPr>
              <w:fldChar w:fldCharType="begin"/>
            </w:r>
            <w:r w:rsidR="005C1C7A">
              <w:rPr>
                <w:noProof/>
                <w:webHidden/>
              </w:rPr>
              <w:instrText xml:space="preserve"> PAGEREF _Toc215652937 \h </w:instrText>
            </w:r>
            <w:r w:rsidR="005C1C7A">
              <w:rPr>
                <w:noProof/>
                <w:webHidden/>
              </w:rPr>
            </w:r>
            <w:r w:rsidR="005C1C7A">
              <w:rPr>
                <w:noProof/>
                <w:webHidden/>
              </w:rPr>
              <w:fldChar w:fldCharType="separate"/>
            </w:r>
            <w:r w:rsidR="005C1C7A">
              <w:rPr>
                <w:noProof/>
                <w:webHidden/>
              </w:rPr>
              <w:t>84</w:t>
            </w:r>
            <w:r w:rsidR="005C1C7A">
              <w:rPr>
                <w:noProof/>
                <w:webHidden/>
              </w:rPr>
              <w:fldChar w:fldCharType="end"/>
            </w:r>
          </w:hyperlink>
        </w:p>
        <w:p w14:paraId="4F7B5935" w14:textId="7538BA0E"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8" w:history="1">
            <w:r w:rsidR="005C1C7A" w:rsidRPr="0012720B">
              <w:rPr>
                <w:rStyle w:val="Hyperlink"/>
                <w:noProof/>
              </w:rPr>
              <w:t>4.7.1 Policy and Institutional Context</w:t>
            </w:r>
            <w:r w:rsidR="005C1C7A">
              <w:rPr>
                <w:noProof/>
                <w:webHidden/>
              </w:rPr>
              <w:tab/>
            </w:r>
            <w:r w:rsidR="005C1C7A">
              <w:rPr>
                <w:noProof/>
                <w:webHidden/>
              </w:rPr>
              <w:fldChar w:fldCharType="begin"/>
            </w:r>
            <w:r w:rsidR="005C1C7A">
              <w:rPr>
                <w:noProof/>
                <w:webHidden/>
              </w:rPr>
              <w:instrText xml:space="preserve"> PAGEREF _Toc215652938 \h </w:instrText>
            </w:r>
            <w:r w:rsidR="005C1C7A">
              <w:rPr>
                <w:noProof/>
                <w:webHidden/>
              </w:rPr>
            </w:r>
            <w:r w:rsidR="005C1C7A">
              <w:rPr>
                <w:noProof/>
                <w:webHidden/>
              </w:rPr>
              <w:fldChar w:fldCharType="separate"/>
            </w:r>
            <w:r w:rsidR="005C1C7A">
              <w:rPr>
                <w:noProof/>
                <w:webHidden/>
              </w:rPr>
              <w:t>84</w:t>
            </w:r>
            <w:r w:rsidR="005C1C7A">
              <w:rPr>
                <w:noProof/>
                <w:webHidden/>
              </w:rPr>
              <w:fldChar w:fldCharType="end"/>
            </w:r>
          </w:hyperlink>
        </w:p>
        <w:p w14:paraId="4A1A361F" w14:textId="72B2CD93"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39" w:history="1">
            <w:r w:rsidR="005C1C7A" w:rsidRPr="0012720B">
              <w:rPr>
                <w:rStyle w:val="Hyperlink"/>
                <w:noProof/>
              </w:rPr>
              <w:t>4.7.2 Effectiveness by Category</w:t>
            </w:r>
            <w:r w:rsidR="005C1C7A">
              <w:rPr>
                <w:noProof/>
                <w:webHidden/>
              </w:rPr>
              <w:tab/>
            </w:r>
            <w:r w:rsidR="005C1C7A">
              <w:rPr>
                <w:noProof/>
                <w:webHidden/>
              </w:rPr>
              <w:fldChar w:fldCharType="begin"/>
            </w:r>
            <w:r w:rsidR="005C1C7A">
              <w:rPr>
                <w:noProof/>
                <w:webHidden/>
              </w:rPr>
              <w:instrText xml:space="preserve"> PAGEREF _Toc215652939 \h </w:instrText>
            </w:r>
            <w:r w:rsidR="005C1C7A">
              <w:rPr>
                <w:noProof/>
                <w:webHidden/>
              </w:rPr>
            </w:r>
            <w:r w:rsidR="005C1C7A">
              <w:rPr>
                <w:noProof/>
                <w:webHidden/>
              </w:rPr>
              <w:fldChar w:fldCharType="separate"/>
            </w:r>
            <w:r w:rsidR="005C1C7A">
              <w:rPr>
                <w:noProof/>
                <w:webHidden/>
              </w:rPr>
              <w:t>88</w:t>
            </w:r>
            <w:r w:rsidR="005C1C7A">
              <w:rPr>
                <w:noProof/>
                <w:webHidden/>
              </w:rPr>
              <w:fldChar w:fldCharType="end"/>
            </w:r>
          </w:hyperlink>
        </w:p>
        <w:p w14:paraId="6A9B245E" w14:textId="7E79CCD5"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40" w:history="1">
            <w:r w:rsidR="005C1C7A" w:rsidRPr="0012720B">
              <w:rPr>
                <w:rStyle w:val="Hyperlink"/>
                <w:noProof/>
              </w:rPr>
              <w:t>4.9.2 Policy Recommendations</w:t>
            </w:r>
            <w:r w:rsidR="005C1C7A">
              <w:rPr>
                <w:noProof/>
                <w:webHidden/>
              </w:rPr>
              <w:tab/>
            </w:r>
            <w:r w:rsidR="005C1C7A">
              <w:rPr>
                <w:noProof/>
                <w:webHidden/>
              </w:rPr>
              <w:fldChar w:fldCharType="begin"/>
            </w:r>
            <w:r w:rsidR="005C1C7A">
              <w:rPr>
                <w:noProof/>
                <w:webHidden/>
              </w:rPr>
              <w:instrText xml:space="preserve"> PAGEREF _Toc215652940 \h </w:instrText>
            </w:r>
            <w:r w:rsidR="005C1C7A">
              <w:rPr>
                <w:noProof/>
                <w:webHidden/>
              </w:rPr>
            </w:r>
            <w:r w:rsidR="005C1C7A">
              <w:rPr>
                <w:noProof/>
                <w:webHidden/>
              </w:rPr>
              <w:fldChar w:fldCharType="separate"/>
            </w:r>
            <w:r w:rsidR="005C1C7A">
              <w:rPr>
                <w:noProof/>
                <w:webHidden/>
              </w:rPr>
              <w:t>91</w:t>
            </w:r>
            <w:r w:rsidR="005C1C7A">
              <w:rPr>
                <w:noProof/>
                <w:webHidden/>
              </w:rPr>
              <w:fldChar w:fldCharType="end"/>
            </w:r>
          </w:hyperlink>
        </w:p>
        <w:p w14:paraId="5CCF1392" w14:textId="5E0B1010" w:rsidR="005C1C7A" w:rsidRDefault="00F65C12" w:rsidP="002B358B">
          <w:pPr>
            <w:pStyle w:val="TOC3"/>
            <w:tabs>
              <w:tab w:val="right" w:leader="dot" w:pos="9350"/>
            </w:tabs>
            <w:jc w:val="both"/>
            <w:rPr>
              <w:rFonts w:eastAsiaTheme="minorEastAsia"/>
              <w:noProof/>
              <w:kern w:val="0"/>
              <w:sz w:val="22"/>
              <w:szCs w:val="22"/>
              <w:lang w:val="en-GB" w:eastAsia="en-GB"/>
              <w14:ligatures w14:val="none"/>
            </w:rPr>
          </w:pPr>
          <w:hyperlink w:anchor="_Toc215652941" w:history="1">
            <w:r w:rsidR="005C1C7A" w:rsidRPr="0012720B">
              <w:rPr>
                <w:rStyle w:val="Hyperlink"/>
                <w:noProof/>
              </w:rPr>
              <w:t>4.9.3 Capacity Building</w:t>
            </w:r>
            <w:r w:rsidR="005C1C7A">
              <w:rPr>
                <w:noProof/>
                <w:webHidden/>
              </w:rPr>
              <w:tab/>
            </w:r>
            <w:r w:rsidR="005C1C7A">
              <w:rPr>
                <w:noProof/>
                <w:webHidden/>
              </w:rPr>
              <w:fldChar w:fldCharType="begin"/>
            </w:r>
            <w:r w:rsidR="005C1C7A">
              <w:rPr>
                <w:noProof/>
                <w:webHidden/>
              </w:rPr>
              <w:instrText xml:space="preserve"> PAGEREF _Toc215652941 \h </w:instrText>
            </w:r>
            <w:r w:rsidR="005C1C7A">
              <w:rPr>
                <w:noProof/>
                <w:webHidden/>
              </w:rPr>
            </w:r>
            <w:r w:rsidR="005C1C7A">
              <w:rPr>
                <w:noProof/>
                <w:webHidden/>
              </w:rPr>
              <w:fldChar w:fldCharType="separate"/>
            </w:r>
            <w:r w:rsidR="005C1C7A">
              <w:rPr>
                <w:noProof/>
                <w:webHidden/>
              </w:rPr>
              <w:t>96</w:t>
            </w:r>
            <w:r w:rsidR="005C1C7A">
              <w:rPr>
                <w:noProof/>
                <w:webHidden/>
              </w:rPr>
              <w:fldChar w:fldCharType="end"/>
            </w:r>
          </w:hyperlink>
        </w:p>
        <w:p w14:paraId="0F2EB7AF" w14:textId="04BA4C44"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2" w:history="1">
            <w:r w:rsidR="005C1C7A" w:rsidRPr="0012720B">
              <w:rPr>
                <w:rStyle w:val="Hyperlink"/>
                <w:noProof/>
              </w:rPr>
              <w:t>4.10 Limitations and Uncertainties</w:t>
            </w:r>
            <w:r w:rsidR="005C1C7A">
              <w:rPr>
                <w:noProof/>
                <w:webHidden/>
              </w:rPr>
              <w:tab/>
            </w:r>
            <w:r w:rsidR="005C1C7A">
              <w:rPr>
                <w:noProof/>
                <w:webHidden/>
              </w:rPr>
              <w:fldChar w:fldCharType="begin"/>
            </w:r>
            <w:r w:rsidR="005C1C7A">
              <w:rPr>
                <w:noProof/>
                <w:webHidden/>
              </w:rPr>
              <w:instrText xml:space="preserve"> PAGEREF _Toc215652942 \h </w:instrText>
            </w:r>
            <w:r w:rsidR="005C1C7A">
              <w:rPr>
                <w:noProof/>
                <w:webHidden/>
              </w:rPr>
            </w:r>
            <w:r w:rsidR="005C1C7A">
              <w:rPr>
                <w:noProof/>
                <w:webHidden/>
              </w:rPr>
              <w:fldChar w:fldCharType="separate"/>
            </w:r>
            <w:r w:rsidR="005C1C7A">
              <w:rPr>
                <w:noProof/>
                <w:webHidden/>
              </w:rPr>
              <w:t>97</w:t>
            </w:r>
            <w:r w:rsidR="005C1C7A">
              <w:rPr>
                <w:noProof/>
                <w:webHidden/>
              </w:rPr>
              <w:fldChar w:fldCharType="end"/>
            </w:r>
          </w:hyperlink>
        </w:p>
        <w:p w14:paraId="0E4980C8" w14:textId="11ECF7D6"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3" w:history="1">
            <w:r w:rsidR="005C1C7A" w:rsidRPr="0012720B">
              <w:rPr>
                <w:rStyle w:val="Hyperlink"/>
                <w:noProof/>
              </w:rPr>
              <w:t>4.11 Conclusion</w:t>
            </w:r>
            <w:r w:rsidR="005C1C7A">
              <w:rPr>
                <w:noProof/>
                <w:webHidden/>
              </w:rPr>
              <w:tab/>
            </w:r>
            <w:r w:rsidR="005C1C7A">
              <w:rPr>
                <w:noProof/>
                <w:webHidden/>
              </w:rPr>
              <w:fldChar w:fldCharType="begin"/>
            </w:r>
            <w:r w:rsidR="005C1C7A">
              <w:rPr>
                <w:noProof/>
                <w:webHidden/>
              </w:rPr>
              <w:instrText xml:space="preserve"> PAGEREF _Toc215652943 \h </w:instrText>
            </w:r>
            <w:r w:rsidR="005C1C7A">
              <w:rPr>
                <w:noProof/>
                <w:webHidden/>
              </w:rPr>
            </w:r>
            <w:r w:rsidR="005C1C7A">
              <w:rPr>
                <w:noProof/>
                <w:webHidden/>
              </w:rPr>
              <w:fldChar w:fldCharType="separate"/>
            </w:r>
            <w:r w:rsidR="005C1C7A">
              <w:rPr>
                <w:noProof/>
                <w:webHidden/>
              </w:rPr>
              <w:t>98</w:t>
            </w:r>
            <w:r w:rsidR="005C1C7A">
              <w:rPr>
                <w:noProof/>
                <w:webHidden/>
              </w:rPr>
              <w:fldChar w:fldCharType="end"/>
            </w:r>
          </w:hyperlink>
        </w:p>
        <w:p w14:paraId="34DE21B8" w14:textId="096C9609"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44" w:history="1">
            <w:r w:rsidR="005C1C7A" w:rsidRPr="0012720B">
              <w:rPr>
                <w:rStyle w:val="Hyperlink"/>
                <w:noProof/>
              </w:rPr>
              <w:t>Chapter 5</w:t>
            </w:r>
            <w:r w:rsidR="005C1C7A">
              <w:rPr>
                <w:noProof/>
                <w:webHidden/>
              </w:rPr>
              <w:tab/>
            </w:r>
            <w:r w:rsidR="005C1C7A">
              <w:rPr>
                <w:noProof/>
                <w:webHidden/>
              </w:rPr>
              <w:fldChar w:fldCharType="begin"/>
            </w:r>
            <w:r w:rsidR="005C1C7A">
              <w:rPr>
                <w:noProof/>
                <w:webHidden/>
              </w:rPr>
              <w:instrText xml:space="preserve"> PAGEREF _Toc215652944 \h </w:instrText>
            </w:r>
            <w:r w:rsidR="005C1C7A">
              <w:rPr>
                <w:noProof/>
                <w:webHidden/>
              </w:rPr>
            </w:r>
            <w:r w:rsidR="005C1C7A">
              <w:rPr>
                <w:noProof/>
                <w:webHidden/>
              </w:rPr>
              <w:fldChar w:fldCharType="separate"/>
            </w:r>
            <w:r w:rsidR="005C1C7A">
              <w:rPr>
                <w:noProof/>
                <w:webHidden/>
              </w:rPr>
              <w:t>101</w:t>
            </w:r>
            <w:r w:rsidR="005C1C7A">
              <w:rPr>
                <w:noProof/>
                <w:webHidden/>
              </w:rPr>
              <w:fldChar w:fldCharType="end"/>
            </w:r>
          </w:hyperlink>
        </w:p>
        <w:p w14:paraId="48C05800" w14:textId="371FBEAD"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45" w:history="1">
            <w:r w:rsidR="005C1C7A" w:rsidRPr="0012720B">
              <w:rPr>
                <w:rStyle w:val="Hyperlink"/>
                <w:noProof/>
              </w:rPr>
              <w:t>Findings, Discussion, and Implications</w:t>
            </w:r>
            <w:r w:rsidR="005C1C7A">
              <w:rPr>
                <w:noProof/>
                <w:webHidden/>
              </w:rPr>
              <w:tab/>
            </w:r>
            <w:r w:rsidR="005C1C7A">
              <w:rPr>
                <w:noProof/>
                <w:webHidden/>
              </w:rPr>
              <w:fldChar w:fldCharType="begin"/>
            </w:r>
            <w:r w:rsidR="005C1C7A">
              <w:rPr>
                <w:noProof/>
                <w:webHidden/>
              </w:rPr>
              <w:instrText xml:space="preserve"> PAGEREF _Toc215652945 \h </w:instrText>
            </w:r>
            <w:r w:rsidR="005C1C7A">
              <w:rPr>
                <w:noProof/>
                <w:webHidden/>
              </w:rPr>
            </w:r>
            <w:r w:rsidR="005C1C7A">
              <w:rPr>
                <w:noProof/>
                <w:webHidden/>
              </w:rPr>
              <w:fldChar w:fldCharType="separate"/>
            </w:r>
            <w:r w:rsidR="005C1C7A">
              <w:rPr>
                <w:noProof/>
                <w:webHidden/>
              </w:rPr>
              <w:t>101</w:t>
            </w:r>
            <w:r w:rsidR="005C1C7A">
              <w:rPr>
                <w:noProof/>
                <w:webHidden/>
              </w:rPr>
              <w:fldChar w:fldCharType="end"/>
            </w:r>
          </w:hyperlink>
        </w:p>
        <w:p w14:paraId="15FCCEC5" w14:textId="587F1D3A"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6" w:history="1">
            <w:r w:rsidR="005C1C7A" w:rsidRPr="0012720B">
              <w:rPr>
                <w:rStyle w:val="Hyperlink"/>
                <w:noProof/>
              </w:rPr>
              <w:t>5.1 Introduction</w:t>
            </w:r>
            <w:r w:rsidR="005C1C7A">
              <w:rPr>
                <w:noProof/>
                <w:webHidden/>
              </w:rPr>
              <w:tab/>
            </w:r>
            <w:r w:rsidR="005C1C7A">
              <w:rPr>
                <w:noProof/>
                <w:webHidden/>
              </w:rPr>
              <w:fldChar w:fldCharType="begin"/>
            </w:r>
            <w:r w:rsidR="005C1C7A">
              <w:rPr>
                <w:noProof/>
                <w:webHidden/>
              </w:rPr>
              <w:instrText xml:space="preserve"> PAGEREF _Toc215652946 \h </w:instrText>
            </w:r>
            <w:r w:rsidR="005C1C7A">
              <w:rPr>
                <w:noProof/>
                <w:webHidden/>
              </w:rPr>
            </w:r>
            <w:r w:rsidR="005C1C7A">
              <w:rPr>
                <w:noProof/>
                <w:webHidden/>
              </w:rPr>
              <w:fldChar w:fldCharType="separate"/>
            </w:r>
            <w:r w:rsidR="005C1C7A">
              <w:rPr>
                <w:noProof/>
                <w:webHidden/>
              </w:rPr>
              <w:t>101</w:t>
            </w:r>
            <w:r w:rsidR="005C1C7A">
              <w:rPr>
                <w:noProof/>
                <w:webHidden/>
              </w:rPr>
              <w:fldChar w:fldCharType="end"/>
            </w:r>
          </w:hyperlink>
        </w:p>
        <w:p w14:paraId="1E951C15" w14:textId="42B16817"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7" w:history="1">
            <w:r w:rsidR="005C1C7A" w:rsidRPr="0012720B">
              <w:rPr>
                <w:rStyle w:val="Hyperlink"/>
                <w:noProof/>
              </w:rPr>
              <w:t>5.2 Summary of Key Findings by Objective</w:t>
            </w:r>
            <w:r w:rsidR="005C1C7A">
              <w:rPr>
                <w:noProof/>
                <w:webHidden/>
              </w:rPr>
              <w:tab/>
            </w:r>
            <w:r w:rsidR="005C1C7A">
              <w:rPr>
                <w:noProof/>
                <w:webHidden/>
              </w:rPr>
              <w:fldChar w:fldCharType="begin"/>
            </w:r>
            <w:r w:rsidR="005C1C7A">
              <w:rPr>
                <w:noProof/>
                <w:webHidden/>
              </w:rPr>
              <w:instrText xml:space="preserve"> PAGEREF _Toc215652947 \h </w:instrText>
            </w:r>
            <w:r w:rsidR="005C1C7A">
              <w:rPr>
                <w:noProof/>
                <w:webHidden/>
              </w:rPr>
            </w:r>
            <w:r w:rsidR="005C1C7A">
              <w:rPr>
                <w:noProof/>
                <w:webHidden/>
              </w:rPr>
              <w:fldChar w:fldCharType="separate"/>
            </w:r>
            <w:r w:rsidR="005C1C7A">
              <w:rPr>
                <w:noProof/>
                <w:webHidden/>
              </w:rPr>
              <w:t>101</w:t>
            </w:r>
            <w:r w:rsidR="005C1C7A">
              <w:rPr>
                <w:noProof/>
                <w:webHidden/>
              </w:rPr>
              <w:fldChar w:fldCharType="end"/>
            </w:r>
          </w:hyperlink>
        </w:p>
        <w:p w14:paraId="5963142A" w14:textId="0E1DF102"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8" w:history="1">
            <w:r w:rsidR="005C1C7A" w:rsidRPr="0012720B">
              <w:rPr>
                <w:rStyle w:val="Hyperlink"/>
                <w:noProof/>
              </w:rPr>
              <w:t>5.3 Comparative Discussion with the Literature</w:t>
            </w:r>
            <w:r w:rsidR="005C1C7A">
              <w:rPr>
                <w:noProof/>
                <w:webHidden/>
              </w:rPr>
              <w:tab/>
            </w:r>
            <w:r w:rsidR="005C1C7A">
              <w:rPr>
                <w:noProof/>
                <w:webHidden/>
              </w:rPr>
              <w:fldChar w:fldCharType="begin"/>
            </w:r>
            <w:r w:rsidR="005C1C7A">
              <w:rPr>
                <w:noProof/>
                <w:webHidden/>
              </w:rPr>
              <w:instrText xml:space="preserve"> PAGEREF _Toc215652948 \h </w:instrText>
            </w:r>
            <w:r w:rsidR="005C1C7A">
              <w:rPr>
                <w:noProof/>
                <w:webHidden/>
              </w:rPr>
            </w:r>
            <w:r w:rsidR="005C1C7A">
              <w:rPr>
                <w:noProof/>
                <w:webHidden/>
              </w:rPr>
              <w:fldChar w:fldCharType="separate"/>
            </w:r>
            <w:r w:rsidR="005C1C7A">
              <w:rPr>
                <w:noProof/>
                <w:webHidden/>
              </w:rPr>
              <w:t>105</w:t>
            </w:r>
            <w:r w:rsidR="005C1C7A">
              <w:rPr>
                <w:noProof/>
                <w:webHidden/>
              </w:rPr>
              <w:fldChar w:fldCharType="end"/>
            </w:r>
          </w:hyperlink>
        </w:p>
        <w:p w14:paraId="4909747C" w14:textId="2E44BA7E"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49" w:history="1">
            <w:r w:rsidR="005C1C7A" w:rsidRPr="0012720B">
              <w:rPr>
                <w:rStyle w:val="Hyperlink"/>
                <w:noProof/>
              </w:rPr>
              <w:t>5.4 Implications for Practice</w:t>
            </w:r>
            <w:r w:rsidR="005C1C7A">
              <w:rPr>
                <w:noProof/>
                <w:webHidden/>
              </w:rPr>
              <w:tab/>
            </w:r>
            <w:r w:rsidR="005C1C7A">
              <w:rPr>
                <w:noProof/>
                <w:webHidden/>
              </w:rPr>
              <w:fldChar w:fldCharType="begin"/>
            </w:r>
            <w:r w:rsidR="005C1C7A">
              <w:rPr>
                <w:noProof/>
                <w:webHidden/>
              </w:rPr>
              <w:instrText xml:space="preserve"> PAGEREF _Toc215652949 \h </w:instrText>
            </w:r>
            <w:r w:rsidR="005C1C7A">
              <w:rPr>
                <w:noProof/>
                <w:webHidden/>
              </w:rPr>
            </w:r>
            <w:r w:rsidR="005C1C7A">
              <w:rPr>
                <w:noProof/>
                <w:webHidden/>
              </w:rPr>
              <w:fldChar w:fldCharType="separate"/>
            </w:r>
            <w:r w:rsidR="005C1C7A">
              <w:rPr>
                <w:noProof/>
                <w:webHidden/>
              </w:rPr>
              <w:t>108</w:t>
            </w:r>
            <w:r w:rsidR="005C1C7A">
              <w:rPr>
                <w:noProof/>
                <w:webHidden/>
              </w:rPr>
              <w:fldChar w:fldCharType="end"/>
            </w:r>
          </w:hyperlink>
        </w:p>
        <w:p w14:paraId="0AC6A21A" w14:textId="0AA96B84"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0" w:history="1">
            <w:r w:rsidR="005C1C7A" w:rsidRPr="0012720B">
              <w:rPr>
                <w:rStyle w:val="Hyperlink"/>
                <w:bCs/>
                <w:noProof/>
              </w:rPr>
              <w:t>5.7 Limitations of the Study</w:t>
            </w:r>
            <w:r w:rsidR="005C1C7A">
              <w:rPr>
                <w:noProof/>
                <w:webHidden/>
              </w:rPr>
              <w:tab/>
            </w:r>
            <w:r w:rsidR="005C1C7A">
              <w:rPr>
                <w:noProof/>
                <w:webHidden/>
              </w:rPr>
              <w:fldChar w:fldCharType="begin"/>
            </w:r>
            <w:r w:rsidR="005C1C7A">
              <w:rPr>
                <w:noProof/>
                <w:webHidden/>
              </w:rPr>
              <w:instrText xml:space="preserve"> PAGEREF _Toc215652950 \h </w:instrText>
            </w:r>
            <w:r w:rsidR="005C1C7A">
              <w:rPr>
                <w:noProof/>
                <w:webHidden/>
              </w:rPr>
            </w:r>
            <w:r w:rsidR="005C1C7A">
              <w:rPr>
                <w:noProof/>
                <w:webHidden/>
              </w:rPr>
              <w:fldChar w:fldCharType="separate"/>
            </w:r>
            <w:r w:rsidR="005C1C7A">
              <w:rPr>
                <w:noProof/>
                <w:webHidden/>
              </w:rPr>
              <w:t>113</w:t>
            </w:r>
            <w:r w:rsidR="005C1C7A">
              <w:rPr>
                <w:noProof/>
                <w:webHidden/>
              </w:rPr>
              <w:fldChar w:fldCharType="end"/>
            </w:r>
          </w:hyperlink>
        </w:p>
        <w:p w14:paraId="014565E3" w14:textId="0FE6CA35"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1" w:history="1">
            <w:r w:rsidR="005C1C7A" w:rsidRPr="0012720B">
              <w:rPr>
                <w:rStyle w:val="Hyperlink"/>
                <w:noProof/>
              </w:rPr>
              <w:t>5.7 Suggestions for Future Research</w:t>
            </w:r>
            <w:r w:rsidR="005C1C7A">
              <w:rPr>
                <w:noProof/>
                <w:webHidden/>
              </w:rPr>
              <w:tab/>
            </w:r>
            <w:r w:rsidR="005C1C7A">
              <w:rPr>
                <w:noProof/>
                <w:webHidden/>
              </w:rPr>
              <w:fldChar w:fldCharType="begin"/>
            </w:r>
            <w:r w:rsidR="005C1C7A">
              <w:rPr>
                <w:noProof/>
                <w:webHidden/>
              </w:rPr>
              <w:instrText xml:space="preserve"> PAGEREF _Toc215652951 \h </w:instrText>
            </w:r>
            <w:r w:rsidR="005C1C7A">
              <w:rPr>
                <w:noProof/>
                <w:webHidden/>
              </w:rPr>
            </w:r>
            <w:r w:rsidR="005C1C7A">
              <w:rPr>
                <w:noProof/>
                <w:webHidden/>
              </w:rPr>
              <w:fldChar w:fldCharType="separate"/>
            </w:r>
            <w:r w:rsidR="005C1C7A">
              <w:rPr>
                <w:noProof/>
                <w:webHidden/>
              </w:rPr>
              <w:t>116</w:t>
            </w:r>
            <w:r w:rsidR="005C1C7A">
              <w:rPr>
                <w:noProof/>
                <w:webHidden/>
              </w:rPr>
              <w:fldChar w:fldCharType="end"/>
            </w:r>
          </w:hyperlink>
        </w:p>
        <w:p w14:paraId="5E626FE8" w14:textId="5C71F62C"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2" w:history="1">
            <w:r w:rsidR="005C1C7A" w:rsidRPr="0012720B">
              <w:rPr>
                <w:rStyle w:val="Hyperlink"/>
                <w:noProof/>
              </w:rPr>
              <w:t>5.8 Conclusion</w:t>
            </w:r>
            <w:r w:rsidR="005C1C7A">
              <w:rPr>
                <w:noProof/>
                <w:webHidden/>
              </w:rPr>
              <w:tab/>
            </w:r>
            <w:r w:rsidR="005C1C7A">
              <w:rPr>
                <w:noProof/>
                <w:webHidden/>
              </w:rPr>
              <w:fldChar w:fldCharType="begin"/>
            </w:r>
            <w:r w:rsidR="005C1C7A">
              <w:rPr>
                <w:noProof/>
                <w:webHidden/>
              </w:rPr>
              <w:instrText xml:space="preserve"> PAGEREF _Toc215652952 \h </w:instrText>
            </w:r>
            <w:r w:rsidR="005C1C7A">
              <w:rPr>
                <w:noProof/>
                <w:webHidden/>
              </w:rPr>
            </w:r>
            <w:r w:rsidR="005C1C7A">
              <w:rPr>
                <w:noProof/>
                <w:webHidden/>
              </w:rPr>
              <w:fldChar w:fldCharType="separate"/>
            </w:r>
            <w:r w:rsidR="005C1C7A">
              <w:rPr>
                <w:noProof/>
                <w:webHidden/>
              </w:rPr>
              <w:t>117</w:t>
            </w:r>
            <w:r w:rsidR="005C1C7A">
              <w:rPr>
                <w:noProof/>
                <w:webHidden/>
              </w:rPr>
              <w:fldChar w:fldCharType="end"/>
            </w:r>
          </w:hyperlink>
        </w:p>
        <w:p w14:paraId="016C0B33" w14:textId="6F2B3532"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53" w:history="1">
            <w:r w:rsidR="005C1C7A" w:rsidRPr="0012720B">
              <w:rPr>
                <w:rStyle w:val="Hyperlink"/>
                <w:noProof/>
                <w:shd w:val="clear" w:color="auto" w:fill="FFFFFF"/>
              </w:rPr>
              <w:t>References</w:t>
            </w:r>
            <w:r w:rsidR="005C1C7A">
              <w:rPr>
                <w:noProof/>
                <w:webHidden/>
              </w:rPr>
              <w:tab/>
            </w:r>
            <w:r w:rsidR="005C1C7A">
              <w:rPr>
                <w:noProof/>
                <w:webHidden/>
              </w:rPr>
              <w:fldChar w:fldCharType="begin"/>
            </w:r>
            <w:r w:rsidR="005C1C7A">
              <w:rPr>
                <w:noProof/>
                <w:webHidden/>
              </w:rPr>
              <w:instrText xml:space="preserve"> PAGEREF _Toc215652953 \h </w:instrText>
            </w:r>
            <w:r w:rsidR="005C1C7A">
              <w:rPr>
                <w:noProof/>
                <w:webHidden/>
              </w:rPr>
            </w:r>
            <w:r w:rsidR="005C1C7A">
              <w:rPr>
                <w:noProof/>
                <w:webHidden/>
              </w:rPr>
              <w:fldChar w:fldCharType="separate"/>
            </w:r>
            <w:r w:rsidR="005C1C7A">
              <w:rPr>
                <w:noProof/>
                <w:webHidden/>
              </w:rPr>
              <w:t>118</w:t>
            </w:r>
            <w:r w:rsidR="005C1C7A">
              <w:rPr>
                <w:noProof/>
                <w:webHidden/>
              </w:rPr>
              <w:fldChar w:fldCharType="end"/>
            </w:r>
          </w:hyperlink>
        </w:p>
        <w:p w14:paraId="28F66265" w14:textId="3564E8BA"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54" w:history="1">
            <w:r w:rsidR="005C1C7A" w:rsidRPr="0012720B">
              <w:rPr>
                <w:rStyle w:val="Hyperlink"/>
                <w:noProof/>
              </w:rPr>
              <w:t>Appendices</w:t>
            </w:r>
            <w:r w:rsidR="005C1C7A">
              <w:rPr>
                <w:noProof/>
                <w:webHidden/>
              </w:rPr>
              <w:tab/>
            </w:r>
            <w:r w:rsidR="005C1C7A">
              <w:rPr>
                <w:noProof/>
                <w:webHidden/>
              </w:rPr>
              <w:fldChar w:fldCharType="begin"/>
            </w:r>
            <w:r w:rsidR="005C1C7A">
              <w:rPr>
                <w:noProof/>
                <w:webHidden/>
              </w:rPr>
              <w:instrText xml:space="preserve"> PAGEREF _Toc215652954 \h </w:instrText>
            </w:r>
            <w:r w:rsidR="005C1C7A">
              <w:rPr>
                <w:noProof/>
                <w:webHidden/>
              </w:rPr>
            </w:r>
            <w:r w:rsidR="005C1C7A">
              <w:rPr>
                <w:noProof/>
                <w:webHidden/>
              </w:rPr>
              <w:fldChar w:fldCharType="separate"/>
            </w:r>
            <w:r w:rsidR="005C1C7A">
              <w:rPr>
                <w:noProof/>
                <w:webHidden/>
              </w:rPr>
              <w:t>127</w:t>
            </w:r>
            <w:r w:rsidR="005C1C7A">
              <w:rPr>
                <w:noProof/>
                <w:webHidden/>
              </w:rPr>
              <w:fldChar w:fldCharType="end"/>
            </w:r>
          </w:hyperlink>
        </w:p>
        <w:p w14:paraId="0F297F62" w14:textId="487B29D5"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55" w:history="1">
            <w:r w:rsidR="005C1C7A" w:rsidRPr="0012720B">
              <w:rPr>
                <w:rStyle w:val="Hyperlink"/>
                <w:noProof/>
              </w:rPr>
              <w:t>Appendix A,</w:t>
            </w:r>
            <w:r w:rsidR="005C1C7A">
              <w:rPr>
                <w:noProof/>
                <w:webHidden/>
              </w:rPr>
              <w:tab/>
            </w:r>
            <w:r w:rsidR="005C1C7A">
              <w:rPr>
                <w:noProof/>
                <w:webHidden/>
              </w:rPr>
              <w:fldChar w:fldCharType="begin"/>
            </w:r>
            <w:r w:rsidR="005C1C7A">
              <w:rPr>
                <w:noProof/>
                <w:webHidden/>
              </w:rPr>
              <w:instrText xml:space="preserve"> PAGEREF _Toc215652955 \h </w:instrText>
            </w:r>
            <w:r w:rsidR="005C1C7A">
              <w:rPr>
                <w:noProof/>
                <w:webHidden/>
              </w:rPr>
            </w:r>
            <w:r w:rsidR="005C1C7A">
              <w:rPr>
                <w:noProof/>
                <w:webHidden/>
              </w:rPr>
              <w:fldChar w:fldCharType="separate"/>
            </w:r>
            <w:r w:rsidR="005C1C7A">
              <w:rPr>
                <w:noProof/>
                <w:webHidden/>
              </w:rPr>
              <w:t>127</w:t>
            </w:r>
            <w:r w:rsidR="005C1C7A">
              <w:rPr>
                <w:noProof/>
                <w:webHidden/>
              </w:rPr>
              <w:fldChar w:fldCharType="end"/>
            </w:r>
          </w:hyperlink>
        </w:p>
        <w:p w14:paraId="4608848B" w14:textId="0C8380A7" w:rsidR="005C1C7A" w:rsidRDefault="00F65C12" w:rsidP="002B358B">
          <w:pPr>
            <w:pStyle w:val="TOC1"/>
            <w:tabs>
              <w:tab w:val="right" w:leader="dot" w:pos="9350"/>
            </w:tabs>
            <w:jc w:val="both"/>
            <w:rPr>
              <w:rFonts w:eastAsiaTheme="minorEastAsia"/>
              <w:noProof/>
              <w:kern w:val="0"/>
              <w:sz w:val="22"/>
              <w:szCs w:val="22"/>
              <w:lang w:val="en-GB" w:eastAsia="en-GB"/>
              <w14:ligatures w14:val="none"/>
            </w:rPr>
          </w:pPr>
          <w:hyperlink w:anchor="_Toc215652956" w:history="1">
            <w:r w:rsidR="005C1C7A" w:rsidRPr="0012720B">
              <w:rPr>
                <w:rStyle w:val="Hyperlink"/>
                <w:bCs/>
                <w:noProof/>
              </w:rPr>
              <w:t xml:space="preserve">Appendix D, </w:t>
            </w:r>
            <w:r w:rsidR="005C1C7A" w:rsidRPr="0012720B">
              <w:rPr>
                <w:rStyle w:val="Hyperlink"/>
                <w:noProof/>
              </w:rPr>
              <w:t>Research Questionnaire</w:t>
            </w:r>
            <w:r w:rsidR="005C1C7A">
              <w:rPr>
                <w:noProof/>
                <w:webHidden/>
              </w:rPr>
              <w:tab/>
            </w:r>
            <w:r w:rsidR="005C1C7A">
              <w:rPr>
                <w:noProof/>
                <w:webHidden/>
              </w:rPr>
              <w:fldChar w:fldCharType="begin"/>
            </w:r>
            <w:r w:rsidR="005C1C7A">
              <w:rPr>
                <w:noProof/>
                <w:webHidden/>
              </w:rPr>
              <w:instrText xml:space="preserve"> PAGEREF _Toc215652956 \h </w:instrText>
            </w:r>
            <w:r w:rsidR="005C1C7A">
              <w:rPr>
                <w:noProof/>
                <w:webHidden/>
              </w:rPr>
            </w:r>
            <w:r w:rsidR="005C1C7A">
              <w:rPr>
                <w:noProof/>
                <w:webHidden/>
              </w:rPr>
              <w:fldChar w:fldCharType="separate"/>
            </w:r>
            <w:r w:rsidR="005C1C7A">
              <w:rPr>
                <w:noProof/>
                <w:webHidden/>
              </w:rPr>
              <w:t>132</w:t>
            </w:r>
            <w:r w:rsidR="005C1C7A">
              <w:rPr>
                <w:noProof/>
                <w:webHidden/>
              </w:rPr>
              <w:fldChar w:fldCharType="end"/>
            </w:r>
          </w:hyperlink>
        </w:p>
        <w:p w14:paraId="4FD19197" w14:textId="2D245B6B"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7" w:history="1">
            <w:r w:rsidR="005C1C7A">
              <w:rPr>
                <w:noProof/>
                <w:webHidden/>
              </w:rPr>
              <w:tab/>
            </w:r>
            <w:r w:rsidR="005C1C7A">
              <w:rPr>
                <w:noProof/>
                <w:webHidden/>
              </w:rPr>
              <w:fldChar w:fldCharType="begin"/>
            </w:r>
            <w:r w:rsidR="005C1C7A">
              <w:rPr>
                <w:noProof/>
                <w:webHidden/>
              </w:rPr>
              <w:instrText xml:space="preserve"> PAGEREF _Toc215652957 \h </w:instrText>
            </w:r>
            <w:r w:rsidR="005C1C7A">
              <w:rPr>
                <w:noProof/>
                <w:webHidden/>
              </w:rPr>
            </w:r>
            <w:r w:rsidR="005C1C7A">
              <w:rPr>
                <w:noProof/>
                <w:webHidden/>
              </w:rPr>
              <w:fldChar w:fldCharType="separate"/>
            </w:r>
            <w:r w:rsidR="005C1C7A">
              <w:rPr>
                <w:noProof/>
                <w:webHidden/>
              </w:rPr>
              <w:t>133</w:t>
            </w:r>
            <w:r w:rsidR="005C1C7A">
              <w:rPr>
                <w:noProof/>
                <w:webHidden/>
              </w:rPr>
              <w:fldChar w:fldCharType="end"/>
            </w:r>
          </w:hyperlink>
        </w:p>
        <w:p w14:paraId="35CB1BC8" w14:textId="4824C612"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8" w:history="1">
            <w:r w:rsidR="005C1C7A">
              <w:rPr>
                <w:noProof/>
                <w:webHidden/>
              </w:rPr>
              <w:tab/>
            </w:r>
            <w:r w:rsidR="005C1C7A">
              <w:rPr>
                <w:noProof/>
                <w:webHidden/>
              </w:rPr>
              <w:fldChar w:fldCharType="begin"/>
            </w:r>
            <w:r w:rsidR="005C1C7A">
              <w:rPr>
                <w:noProof/>
                <w:webHidden/>
              </w:rPr>
              <w:instrText xml:space="preserve"> PAGEREF _Toc215652958 \h </w:instrText>
            </w:r>
            <w:r w:rsidR="005C1C7A">
              <w:rPr>
                <w:noProof/>
                <w:webHidden/>
              </w:rPr>
            </w:r>
            <w:r w:rsidR="005C1C7A">
              <w:rPr>
                <w:noProof/>
                <w:webHidden/>
              </w:rPr>
              <w:fldChar w:fldCharType="separate"/>
            </w:r>
            <w:r w:rsidR="005C1C7A">
              <w:rPr>
                <w:noProof/>
                <w:webHidden/>
              </w:rPr>
              <w:t>135</w:t>
            </w:r>
            <w:r w:rsidR="005C1C7A">
              <w:rPr>
                <w:noProof/>
                <w:webHidden/>
              </w:rPr>
              <w:fldChar w:fldCharType="end"/>
            </w:r>
          </w:hyperlink>
        </w:p>
        <w:p w14:paraId="4BF59DE6" w14:textId="0CAE2437"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59" w:history="1">
            <w:r w:rsidR="005C1C7A">
              <w:rPr>
                <w:noProof/>
                <w:webHidden/>
              </w:rPr>
              <w:tab/>
            </w:r>
            <w:r w:rsidR="005C1C7A">
              <w:rPr>
                <w:noProof/>
                <w:webHidden/>
              </w:rPr>
              <w:fldChar w:fldCharType="begin"/>
            </w:r>
            <w:r w:rsidR="005C1C7A">
              <w:rPr>
                <w:noProof/>
                <w:webHidden/>
              </w:rPr>
              <w:instrText xml:space="preserve"> PAGEREF _Toc215652959 \h </w:instrText>
            </w:r>
            <w:r w:rsidR="005C1C7A">
              <w:rPr>
                <w:noProof/>
                <w:webHidden/>
              </w:rPr>
            </w:r>
            <w:r w:rsidR="005C1C7A">
              <w:rPr>
                <w:noProof/>
                <w:webHidden/>
              </w:rPr>
              <w:fldChar w:fldCharType="separate"/>
            </w:r>
            <w:r w:rsidR="005C1C7A">
              <w:rPr>
                <w:noProof/>
                <w:webHidden/>
              </w:rPr>
              <w:t>137</w:t>
            </w:r>
            <w:r w:rsidR="005C1C7A">
              <w:rPr>
                <w:noProof/>
                <w:webHidden/>
              </w:rPr>
              <w:fldChar w:fldCharType="end"/>
            </w:r>
          </w:hyperlink>
        </w:p>
        <w:p w14:paraId="28B75D05" w14:textId="1DD07F74" w:rsidR="005C1C7A" w:rsidRDefault="00F65C12" w:rsidP="002B358B">
          <w:pPr>
            <w:pStyle w:val="TOC2"/>
            <w:tabs>
              <w:tab w:val="right" w:leader="dot" w:pos="9350"/>
            </w:tabs>
            <w:jc w:val="both"/>
            <w:rPr>
              <w:rFonts w:eastAsiaTheme="minorEastAsia"/>
              <w:noProof/>
              <w:kern w:val="0"/>
              <w:sz w:val="22"/>
              <w:szCs w:val="22"/>
              <w:lang w:val="en-GB" w:eastAsia="en-GB"/>
              <w14:ligatures w14:val="none"/>
            </w:rPr>
          </w:pPr>
          <w:hyperlink w:anchor="_Toc215652960" w:history="1">
            <w:r w:rsidR="005C1C7A">
              <w:rPr>
                <w:noProof/>
                <w:webHidden/>
              </w:rPr>
              <w:tab/>
            </w:r>
            <w:r w:rsidR="005C1C7A">
              <w:rPr>
                <w:noProof/>
                <w:webHidden/>
              </w:rPr>
              <w:fldChar w:fldCharType="begin"/>
            </w:r>
            <w:r w:rsidR="005C1C7A">
              <w:rPr>
                <w:noProof/>
                <w:webHidden/>
              </w:rPr>
              <w:instrText xml:space="preserve"> PAGEREF _Toc215652960 \h </w:instrText>
            </w:r>
            <w:r w:rsidR="005C1C7A">
              <w:rPr>
                <w:noProof/>
                <w:webHidden/>
              </w:rPr>
            </w:r>
            <w:r w:rsidR="005C1C7A">
              <w:rPr>
                <w:noProof/>
                <w:webHidden/>
              </w:rPr>
              <w:fldChar w:fldCharType="separate"/>
            </w:r>
            <w:r w:rsidR="005C1C7A">
              <w:rPr>
                <w:noProof/>
                <w:webHidden/>
              </w:rPr>
              <w:t>139</w:t>
            </w:r>
            <w:r w:rsidR="005C1C7A">
              <w:rPr>
                <w:noProof/>
                <w:webHidden/>
              </w:rPr>
              <w:fldChar w:fldCharType="end"/>
            </w:r>
          </w:hyperlink>
        </w:p>
        <w:p w14:paraId="33A2B154" w14:textId="475F6503" w:rsidR="00FA1C73" w:rsidRPr="00FA1C73" w:rsidRDefault="005C1C7A" w:rsidP="00FA1C73">
          <w:pPr>
            <w:jc w:val="both"/>
          </w:pPr>
          <w:r>
            <w:rPr>
              <w:b/>
              <w:bCs/>
              <w:noProof/>
            </w:rPr>
            <w:lastRenderedPageBreak/>
            <w:fldChar w:fldCharType="end"/>
          </w:r>
        </w:p>
      </w:sdtContent>
    </w:sdt>
    <w:p w14:paraId="4A8F1CE8" w14:textId="67B20625" w:rsidR="006C04F4" w:rsidRPr="006C04F4" w:rsidRDefault="006C04F4" w:rsidP="00394501">
      <w:pPr>
        <w:pStyle w:val="Heading2"/>
        <w:rPr>
          <w:rFonts w:eastAsia="Calibri"/>
        </w:rPr>
      </w:pPr>
      <w:r w:rsidRPr="006C04F4">
        <w:rPr>
          <w:rFonts w:eastAsia="Calibri"/>
        </w:rPr>
        <w:t>List of Tables</w:t>
      </w:r>
    </w:p>
    <w:p w14:paraId="54397B96" w14:textId="5EB11568" w:rsidR="006C04F4" w:rsidRPr="00B363FF" w:rsidRDefault="006C04F4" w:rsidP="002B358B">
      <w:pPr>
        <w:autoSpaceDE w:val="0"/>
        <w:autoSpaceDN w:val="0"/>
        <w:adjustRightInd w:val="0"/>
        <w:spacing w:line="360" w:lineRule="auto"/>
        <w:jc w:val="both"/>
        <w:rPr>
          <w:rFonts w:eastAsia="Calibri"/>
          <w:lang w:val="en-GB"/>
        </w:rPr>
      </w:pPr>
      <w:r w:rsidRPr="00B363FF">
        <w:rPr>
          <w:rFonts w:eastAsia="Calibri"/>
        </w:rPr>
        <w:t>Table 4.1 Fire incidence over the years…………………………………………50</w:t>
      </w:r>
    </w:p>
    <w:p w14:paraId="3C471DEE" w14:textId="391BDED5" w:rsidR="006C04F4" w:rsidRPr="00B363FF" w:rsidRDefault="006C04F4" w:rsidP="002B358B">
      <w:pPr>
        <w:autoSpaceDE w:val="0"/>
        <w:autoSpaceDN w:val="0"/>
        <w:adjustRightInd w:val="0"/>
        <w:spacing w:line="360" w:lineRule="auto"/>
        <w:jc w:val="both"/>
        <w:rPr>
          <w:rFonts w:eastAsia="Calibri"/>
          <w:lang w:val="en-GB"/>
        </w:rPr>
      </w:pPr>
      <w:r w:rsidRPr="00B363FF">
        <w:rPr>
          <w:rFonts w:eastAsia="Calibri"/>
        </w:rPr>
        <w:t>Table 4.2 Descriptive Statistics……………………………………</w:t>
      </w:r>
      <w:r w:rsidR="00B363FF" w:rsidRPr="00B363FF">
        <w:rPr>
          <w:rFonts w:eastAsia="Calibri"/>
        </w:rPr>
        <w:t>….</w:t>
      </w:r>
      <w:r w:rsidRPr="00B363FF">
        <w:rPr>
          <w:rFonts w:eastAsia="Calibri"/>
        </w:rPr>
        <w:t>…</w:t>
      </w:r>
      <w:r w:rsidR="00CF2859">
        <w:rPr>
          <w:rFonts w:eastAsia="Calibri"/>
        </w:rPr>
        <w:t>..</w:t>
      </w:r>
      <w:r w:rsidRPr="00B363FF">
        <w:rPr>
          <w:rFonts w:eastAsia="Calibri"/>
        </w:rPr>
        <w:t>…</w:t>
      </w:r>
      <w:r w:rsidR="00B363FF" w:rsidRPr="00B363FF">
        <w:rPr>
          <w:rFonts w:eastAsia="Calibri"/>
        </w:rPr>
        <w:t>….</w:t>
      </w:r>
      <w:r w:rsidRPr="00B363FF">
        <w:rPr>
          <w:rFonts w:eastAsia="Calibri"/>
        </w:rPr>
        <w:t>52</w:t>
      </w:r>
    </w:p>
    <w:p w14:paraId="0F5417A5" w14:textId="47242F58" w:rsidR="006C04F4" w:rsidRPr="00B363FF" w:rsidRDefault="006C04F4" w:rsidP="002B358B">
      <w:pPr>
        <w:autoSpaceDE w:val="0"/>
        <w:autoSpaceDN w:val="0"/>
        <w:adjustRightInd w:val="0"/>
        <w:spacing w:line="360" w:lineRule="auto"/>
        <w:jc w:val="both"/>
        <w:rPr>
          <w:rFonts w:eastAsia="Calibri"/>
          <w:lang w:val="en-GB"/>
        </w:rPr>
      </w:pPr>
      <w:r w:rsidRPr="00B363FF">
        <w:rPr>
          <w:rFonts w:eastAsia="Calibri"/>
        </w:rPr>
        <w:t>Table 4.3 Domestic/Residential Fires………………………………</w:t>
      </w:r>
      <w:r w:rsidR="00B363FF" w:rsidRPr="00B363FF">
        <w:rPr>
          <w:rFonts w:eastAsia="Calibri"/>
        </w:rPr>
        <w:t>…...</w:t>
      </w:r>
      <w:r w:rsidRPr="00B363FF">
        <w:rPr>
          <w:rFonts w:eastAsia="Calibri"/>
        </w:rPr>
        <w:t>…</w:t>
      </w:r>
      <w:r w:rsidR="00B363FF" w:rsidRPr="00B363FF">
        <w:rPr>
          <w:rFonts w:eastAsia="Calibri"/>
        </w:rPr>
        <w:t>…...</w:t>
      </w:r>
      <w:r w:rsidRPr="00B363FF">
        <w:rPr>
          <w:rFonts w:eastAsia="Calibri"/>
        </w:rPr>
        <w:t>53</w:t>
      </w:r>
    </w:p>
    <w:p w14:paraId="281BC2CD" w14:textId="77777777" w:rsidR="006C04F4" w:rsidRPr="00B363FF" w:rsidRDefault="006C04F4" w:rsidP="002B358B">
      <w:pPr>
        <w:autoSpaceDE w:val="0"/>
        <w:autoSpaceDN w:val="0"/>
        <w:adjustRightInd w:val="0"/>
        <w:spacing w:line="360" w:lineRule="auto"/>
        <w:jc w:val="both"/>
        <w:rPr>
          <w:rFonts w:eastAsia="Calibri"/>
          <w:lang w:val="en-GB"/>
        </w:rPr>
      </w:pPr>
      <w:r w:rsidRPr="00B363FF">
        <w:rPr>
          <w:rFonts w:eastAsia="Calibri"/>
        </w:rPr>
        <w:t>Table 4.4 Market fires…………………………………………………….…….55</w:t>
      </w:r>
    </w:p>
    <w:p w14:paraId="4C0CEC3E" w14:textId="77777777" w:rsidR="006C04F4" w:rsidRPr="00B363FF" w:rsidRDefault="006C04F4" w:rsidP="002B358B">
      <w:pPr>
        <w:autoSpaceDE w:val="0"/>
        <w:autoSpaceDN w:val="0"/>
        <w:adjustRightInd w:val="0"/>
        <w:spacing w:line="360" w:lineRule="auto"/>
        <w:jc w:val="both"/>
        <w:rPr>
          <w:rFonts w:eastAsia="Calibri"/>
          <w:color w:val="010205"/>
          <w:sz w:val="22"/>
          <w:szCs w:val="22"/>
        </w:rPr>
      </w:pPr>
      <w:r w:rsidRPr="00B363FF">
        <w:rPr>
          <w:rFonts w:eastAsia="Calibri"/>
        </w:rPr>
        <w:t>Table 4.17</w:t>
      </w:r>
      <w:r w:rsidRPr="00B363FF">
        <w:rPr>
          <w:rFonts w:eastAsia="Calibri"/>
          <w:color w:val="010205"/>
          <w:sz w:val="22"/>
          <w:szCs w:val="22"/>
        </w:rPr>
        <w:t xml:space="preserve"> Factors that most commonly contribute to fires in commercial premises ...56</w:t>
      </w:r>
    </w:p>
    <w:p w14:paraId="26CFE216" w14:textId="77777777" w:rsidR="006C04F4" w:rsidRPr="00B363FF" w:rsidRDefault="006C04F4" w:rsidP="002B358B">
      <w:pPr>
        <w:spacing w:line="360" w:lineRule="auto"/>
        <w:jc w:val="both"/>
        <w:rPr>
          <w:rFonts w:eastAsia="Calibri"/>
          <w:color w:val="010205"/>
          <w:sz w:val="22"/>
          <w:szCs w:val="22"/>
        </w:rPr>
      </w:pPr>
      <w:r w:rsidRPr="00B363FF">
        <w:rPr>
          <w:rFonts w:eastAsia="Calibri"/>
        </w:rPr>
        <w:t>Table 4.16</w:t>
      </w:r>
      <w:r w:rsidRPr="00B363FF">
        <w:rPr>
          <w:rFonts w:eastAsia="Calibri"/>
          <w:color w:val="010205"/>
          <w:sz w:val="22"/>
          <w:szCs w:val="22"/>
        </w:rPr>
        <w:t xml:space="preserve"> Residential fire hazard experienced……………………………………….57</w:t>
      </w:r>
    </w:p>
    <w:p w14:paraId="10213E7C" w14:textId="77777777" w:rsidR="006C04F4" w:rsidRPr="00B363FF" w:rsidRDefault="006C04F4" w:rsidP="002B358B">
      <w:pPr>
        <w:autoSpaceDE w:val="0"/>
        <w:autoSpaceDN w:val="0"/>
        <w:adjustRightInd w:val="0"/>
        <w:spacing w:line="360" w:lineRule="auto"/>
        <w:jc w:val="both"/>
        <w:rPr>
          <w:rFonts w:eastAsia="Calibri"/>
          <w:color w:val="010205"/>
        </w:rPr>
      </w:pPr>
      <w:r w:rsidRPr="00B363FF">
        <w:rPr>
          <w:rFonts w:eastAsia="Calibri"/>
          <w:color w:val="010205"/>
        </w:rPr>
        <w:t>Table 4.15residential fires………………………………………………………58</w:t>
      </w:r>
    </w:p>
    <w:p w14:paraId="6666E260" w14:textId="34F63C88" w:rsidR="006C04F4" w:rsidRPr="00B363FF" w:rsidRDefault="006C04F4" w:rsidP="002B358B">
      <w:pPr>
        <w:spacing w:line="360" w:lineRule="auto"/>
        <w:jc w:val="both"/>
        <w:rPr>
          <w:rFonts w:eastAsia="Calibri"/>
          <w:color w:val="010205"/>
          <w:sz w:val="22"/>
          <w:szCs w:val="22"/>
        </w:rPr>
      </w:pPr>
      <w:r w:rsidRPr="00B363FF">
        <w:rPr>
          <w:rFonts w:eastAsia="Calibri"/>
        </w:rPr>
        <w:t>Table 4.14</w:t>
      </w:r>
      <w:r w:rsidRPr="00B363FF">
        <w:rPr>
          <w:rFonts w:eastAsia="Calibri"/>
          <w:color w:val="010205"/>
          <w:sz w:val="22"/>
          <w:szCs w:val="22"/>
        </w:rPr>
        <w:t xml:space="preserve"> Current </w:t>
      </w:r>
      <w:r w:rsidR="000657B6" w:rsidRPr="00B363FF">
        <w:rPr>
          <w:rFonts w:eastAsia="Calibri"/>
          <w:color w:val="010205"/>
          <w:sz w:val="22"/>
          <w:szCs w:val="22"/>
        </w:rPr>
        <w:t>occupation,</w:t>
      </w:r>
      <w:r w:rsidRPr="00B363FF">
        <w:rPr>
          <w:rFonts w:eastAsia="Calibri"/>
          <w:color w:val="010205"/>
          <w:sz w:val="22"/>
          <w:szCs w:val="22"/>
        </w:rPr>
        <w:t>………………</w:t>
      </w:r>
      <w:r w:rsidR="005630DE">
        <w:rPr>
          <w:rFonts w:eastAsia="Calibri"/>
          <w:color w:val="010205"/>
          <w:sz w:val="22"/>
          <w:szCs w:val="22"/>
        </w:rPr>
        <w:t>…………..</w:t>
      </w:r>
      <w:r w:rsidRPr="00B363FF">
        <w:rPr>
          <w:rFonts w:eastAsia="Calibri"/>
          <w:color w:val="010205"/>
          <w:sz w:val="22"/>
          <w:szCs w:val="22"/>
        </w:rPr>
        <w:t>…………………………....59</w:t>
      </w:r>
    </w:p>
    <w:p w14:paraId="14077A15" w14:textId="77777777" w:rsidR="006C04F4" w:rsidRPr="00B363FF" w:rsidRDefault="006C04F4" w:rsidP="002B358B">
      <w:pPr>
        <w:autoSpaceDE w:val="0"/>
        <w:autoSpaceDN w:val="0"/>
        <w:adjustRightInd w:val="0"/>
        <w:spacing w:line="360" w:lineRule="auto"/>
        <w:jc w:val="both"/>
        <w:rPr>
          <w:rFonts w:eastAsia="Calibri"/>
        </w:rPr>
      </w:pPr>
      <w:r w:rsidRPr="00B363FF">
        <w:rPr>
          <w:rFonts w:eastAsia="Calibri"/>
        </w:rPr>
        <w:t>Table 4.12 Gender ………………………………………………………………60</w:t>
      </w:r>
    </w:p>
    <w:p w14:paraId="7DE33F1B" w14:textId="0C044774" w:rsidR="006C04F4" w:rsidRPr="00B363FF" w:rsidRDefault="006C04F4" w:rsidP="002B358B">
      <w:pPr>
        <w:autoSpaceDE w:val="0"/>
        <w:autoSpaceDN w:val="0"/>
        <w:adjustRightInd w:val="0"/>
        <w:spacing w:line="360" w:lineRule="auto"/>
        <w:jc w:val="both"/>
        <w:rPr>
          <w:rFonts w:eastAsia="Calibri"/>
        </w:rPr>
      </w:pPr>
      <w:r w:rsidRPr="00B363FF">
        <w:rPr>
          <w:rFonts w:eastAsia="Calibri"/>
        </w:rPr>
        <w:t>Table 4.11 Age………………………………………………………</w:t>
      </w:r>
      <w:r w:rsidR="00CF2859">
        <w:rPr>
          <w:rFonts w:eastAsia="Calibri"/>
        </w:rPr>
        <w:t>..</w:t>
      </w:r>
      <w:r w:rsidRPr="00B363FF">
        <w:rPr>
          <w:rFonts w:eastAsia="Calibri"/>
        </w:rPr>
        <w:t>………….60</w:t>
      </w:r>
    </w:p>
    <w:p w14:paraId="11F8F9F4" w14:textId="0FAF9D65" w:rsidR="006C04F4" w:rsidRPr="00B363FF" w:rsidRDefault="006C04F4" w:rsidP="002B358B">
      <w:pPr>
        <w:autoSpaceDE w:val="0"/>
        <w:autoSpaceDN w:val="0"/>
        <w:adjustRightInd w:val="0"/>
        <w:jc w:val="both"/>
        <w:rPr>
          <w:rFonts w:ascii="Arial" w:hAnsi="Arial" w:cs="Arial"/>
          <w:color w:val="010205"/>
          <w:sz w:val="22"/>
          <w:szCs w:val="22"/>
        </w:rPr>
      </w:pPr>
      <w:r w:rsidRPr="00B363FF">
        <w:t>Table 4.10</w:t>
      </w:r>
      <w:r w:rsidRPr="00B363FF">
        <w:rPr>
          <w:rFonts w:ascii="Arial" w:hAnsi="Arial" w:cs="Arial"/>
          <w:color w:val="010205"/>
          <w:sz w:val="22"/>
          <w:szCs w:val="22"/>
        </w:rPr>
        <w:t xml:space="preserve"> Descriptive Statistics………………………………………</w:t>
      </w:r>
      <w:r w:rsidR="00CF2859">
        <w:rPr>
          <w:rFonts w:ascii="Arial" w:hAnsi="Arial" w:cs="Arial"/>
          <w:color w:val="010205"/>
          <w:sz w:val="22"/>
          <w:szCs w:val="22"/>
        </w:rPr>
        <w:t>….</w:t>
      </w:r>
      <w:r w:rsidRPr="00B363FF">
        <w:rPr>
          <w:rFonts w:ascii="Arial" w:hAnsi="Arial" w:cs="Arial"/>
          <w:color w:val="010205"/>
          <w:sz w:val="22"/>
          <w:szCs w:val="22"/>
        </w:rPr>
        <w:t>………….61</w:t>
      </w:r>
    </w:p>
    <w:p w14:paraId="1799C4F5" w14:textId="49C77D41" w:rsidR="006C04F4" w:rsidRPr="00B363FF" w:rsidRDefault="006C04F4" w:rsidP="002B358B">
      <w:pPr>
        <w:autoSpaceDE w:val="0"/>
        <w:autoSpaceDN w:val="0"/>
        <w:adjustRightInd w:val="0"/>
        <w:jc w:val="both"/>
        <w:rPr>
          <w:color w:val="000000" w:themeColor="text1"/>
        </w:rPr>
      </w:pPr>
      <w:r w:rsidRPr="00B363FF">
        <w:rPr>
          <w:color w:val="000000" w:themeColor="text1"/>
        </w:rPr>
        <w:t>Table 4.9 Home industry fires…………………………………………</w:t>
      </w:r>
      <w:r w:rsidR="00CF2859">
        <w:rPr>
          <w:color w:val="000000" w:themeColor="text1"/>
        </w:rPr>
        <w:t>..</w:t>
      </w:r>
      <w:r w:rsidRPr="00B363FF">
        <w:rPr>
          <w:color w:val="000000" w:themeColor="text1"/>
        </w:rPr>
        <w:t>……</w:t>
      </w:r>
      <w:r w:rsidR="00B363FF" w:rsidRPr="00B363FF">
        <w:rPr>
          <w:color w:val="000000" w:themeColor="text1"/>
        </w:rPr>
        <w:t>….</w:t>
      </w:r>
      <w:r w:rsidRPr="00B363FF">
        <w:rPr>
          <w:color w:val="000000" w:themeColor="text1"/>
        </w:rPr>
        <w:t>64</w:t>
      </w:r>
    </w:p>
    <w:p w14:paraId="0125B124" w14:textId="58656C7F" w:rsidR="006C04F4" w:rsidRPr="00B363FF" w:rsidRDefault="006C04F4" w:rsidP="002B358B">
      <w:pPr>
        <w:spacing w:line="360" w:lineRule="auto"/>
        <w:jc w:val="both"/>
        <w:rPr>
          <w:color w:val="000000" w:themeColor="text1"/>
        </w:rPr>
      </w:pPr>
      <w:r w:rsidRPr="00B363FF">
        <w:rPr>
          <w:color w:val="000000" w:themeColor="text1"/>
        </w:rPr>
        <w:t>Table 4.9 Rubbish fires………………………………………………</w:t>
      </w:r>
      <w:r w:rsidR="00CF2859">
        <w:rPr>
          <w:color w:val="000000" w:themeColor="text1"/>
        </w:rPr>
        <w:t>.</w:t>
      </w:r>
      <w:r w:rsidRPr="00B363FF">
        <w:rPr>
          <w:color w:val="000000" w:themeColor="text1"/>
        </w:rPr>
        <w:t>………….66</w:t>
      </w:r>
    </w:p>
    <w:p w14:paraId="1E096628" w14:textId="4FD503A6" w:rsidR="006C04F4" w:rsidRPr="00B363FF" w:rsidRDefault="006C04F4" w:rsidP="002B358B">
      <w:pPr>
        <w:autoSpaceDE w:val="0"/>
        <w:autoSpaceDN w:val="0"/>
        <w:adjustRightInd w:val="0"/>
        <w:jc w:val="both"/>
      </w:pPr>
      <w:r w:rsidRPr="00B363FF">
        <w:t>Table 4.8 Grass fires………………………………………………</w:t>
      </w:r>
      <w:r w:rsidR="00CF2859">
        <w:t>.</w:t>
      </w:r>
      <w:r w:rsidRPr="00B363FF">
        <w:t>…………….68</w:t>
      </w:r>
    </w:p>
    <w:p w14:paraId="69A0C939" w14:textId="604FC751" w:rsidR="006C04F4" w:rsidRPr="00B363FF" w:rsidRDefault="006C04F4" w:rsidP="002B358B">
      <w:pPr>
        <w:autoSpaceDE w:val="0"/>
        <w:autoSpaceDN w:val="0"/>
        <w:adjustRightInd w:val="0"/>
        <w:spacing w:line="320" w:lineRule="atLeast"/>
        <w:ind w:left="60" w:right="60"/>
        <w:jc w:val="both"/>
        <w:rPr>
          <w:rFonts w:ascii="Arial" w:hAnsi="Arial" w:cs="Arial"/>
          <w:color w:val="010205"/>
          <w:sz w:val="22"/>
          <w:szCs w:val="22"/>
        </w:rPr>
      </w:pPr>
      <w:r w:rsidRPr="00B363FF">
        <w:rPr>
          <w:rFonts w:ascii="Arial" w:hAnsi="Arial" w:cs="Arial"/>
          <w:color w:val="010205"/>
          <w:sz w:val="22"/>
          <w:szCs w:val="22"/>
        </w:rPr>
        <w:t>Table 4.7 Commercial………………………………………………………</w:t>
      </w:r>
      <w:r w:rsidR="00CF2859">
        <w:rPr>
          <w:rFonts w:ascii="Arial" w:hAnsi="Arial" w:cs="Arial"/>
          <w:color w:val="010205"/>
          <w:sz w:val="22"/>
          <w:szCs w:val="22"/>
        </w:rPr>
        <w:t>…</w:t>
      </w:r>
      <w:r w:rsidRPr="00B363FF">
        <w:rPr>
          <w:rFonts w:ascii="Arial" w:hAnsi="Arial" w:cs="Arial"/>
          <w:color w:val="010205"/>
          <w:sz w:val="22"/>
          <w:szCs w:val="22"/>
        </w:rPr>
        <w:t>………70</w:t>
      </w:r>
    </w:p>
    <w:p w14:paraId="585479FE" w14:textId="6C3D6485" w:rsidR="006C04F4" w:rsidRPr="00B363FF" w:rsidRDefault="006C04F4" w:rsidP="002B358B">
      <w:pPr>
        <w:autoSpaceDE w:val="0"/>
        <w:autoSpaceDN w:val="0"/>
        <w:adjustRightInd w:val="0"/>
        <w:jc w:val="both"/>
        <w:rPr>
          <w:rFonts w:ascii="Arial" w:hAnsi="Arial" w:cs="Arial"/>
          <w:color w:val="010205"/>
          <w:sz w:val="22"/>
          <w:szCs w:val="22"/>
        </w:rPr>
      </w:pPr>
      <w:r w:rsidRPr="00B363FF">
        <w:t>Table 4.5</w:t>
      </w:r>
      <w:r w:rsidRPr="00B363FF">
        <w:rPr>
          <w:rFonts w:ascii="Arial" w:hAnsi="Arial" w:cs="Arial"/>
          <w:color w:val="010205"/>
          <w:sz w:val="22"/>
          <w:szCs w:val="22"/>
        </w:rPr>
        <w:t xml:space="preserve"> Industrial…………………………………………………………</w:t>
      </w:r>
      <w:r w:rsidR="00CF2859">
        <w:rPr>
          <w:rFonts w:ascii="Arial" w:hAnsi="Arial" w:cs="Arial"/>
          <w:color w:val="010205"/>
          <w:sz w:val="22"/>
          <w:szCs w:val="22"/>
        </w:rPr>
        <w:t>..</w:t>
      </w:r>
      <w:r w:rsidRPr="00B363FF">
        <w:rPr>
          <w:rFonts w:ascii="Arial" w:hAnsi="Arial" w:cs="Arial"/>
          <w:color w:val="010205"/>
          <w:sz w:val="22"/>
          <w:szCs w:val="22"/>
        </w:rPr>
        <w:t>………...72</w:t>
      </w:r>
    </w:p>
    <w:p w14:paraId="3BD8E52F" w14:textId="57DA3875" w:rsidR="006C04F4" w:rsidRPr="00B363FF" w:rsidRDefault="006C04F4" w:rsidP="002B358B">
      <w:pPr>
        <w:spacing w:line="360" w:lineRule="auto"/>
        <w:jc w:val="both"/>
        <w:rPr>
          <w:rFonts w:ascii="Arial" w:hAnsi="Arial" w:cs="Arial"/>
          <w:color w:val="010205"/>
          <w:sz w:val="22"/>
          <w:szCs w:val="22"/>
        </w:rPr>
      </w:pPr>
      <w:r w:rsidRPr="00B363FF">
        <w:rPr>
          <w:color w:val="000000" w:themeColor="text1"/>
        </w:rPr>
        <w:t>Table 4.42</w:t>
      </w:r>
      <w:r w:rsidRPr="00B363FF">
        <w:rPr>
          <w:rFonts w:ascii="Arial" w:hAnsi="Arial" w:cs="Arial"/>
          <w:color w:val="010205"/>
          <w:sz w:val="22"/>
          <w:szCs w:val="22"/>
        </w:rPr>
        <w:t xml:space="preserve"> Total Inspected…………………………………………………</w:t>
      </w:r>
      <w:r w:rsidR="00CF2859">
        <w:rPr>
          <w:rFonts w:ascii="Arial" w:hAnsi="Arial" w:cs="Arial"/>
          <w:color w:val="010205"/>
          <w:sz w:val="22"/>
          <w:szCs w:val="22"/>
        </w:rPr>
        <w:t>.</w:t>
      </w:r>
      <w:r w:rsidRPr="00B363FF">
        <w:rPr>
          <w:rFonts w:ascii="Arial" w:hAnsi="Arial" w:cs="Arial"/>
          <w:color w:val="010205"/>
          <w:sz w:val="22"/>
          <w:szCs w:val="22"/>
        </w:rPr>
        <w:t>…………73</w:t>
      </w:r>
    </w:p>
    <w:p w14:paraId="0ADD02BC" w14:textId="2214C610" w:rsidR="006C04F4" w:rsidRPr="00B363FF" w:rsidRDefault="006C04F4" w:rsidP="002B358B">
      <w:pPr>
        <w:pStyle w:val="NoSpacing"/>
        <w:jc w:val="both"/>
      </w:pPr>
      <w:r w:rsidRPr="00B363FF">
        <w:rPr>
          <w:color w:val="000000" w:themeColor="text1"/>
        </w:rPr>
        <w:t xml:space="preserve">Table 4.41 </w:t>
      </w:r>
      <w:r w:rsidRPr="00B363FF">
        <w:t>Fire risk assessment for the year 2024……………………………</w:t>
      </w:r>
      <w:r w:rsidR="00CF2859">
        <w:t>..</w:t>
      </w:r>
      <w:r w:rsidRPr="00B363FF">
        <w:t>……………….74</w:t>
      </w:r>
    </w:p>
    <w:tbl>
      <w:tblPr>
        <w:tblpPr w:leftFromText="180" w:rightFromText="180" w:vertAnchor="text" w:horzAnchor="margin" w:tblpY="-508"/>
        <w:tblW w:w="5981" w:type="dxa"/>
        <w:tblLayout w:type="fixed"/>
        <w:tblCellMar>
          <w:left w:w="0" w:type="dxa"/>
          <w:right w:w="0" w:type="dxa"/>
        </w:tblCellMar>
        <w:tblLook w:val="0000" w:firstRow="0" w:lastRow="0" w:firstColumn="0" w:lastColumn="0" w:noHBand="0" w:noVBand="0"/>
      </w:tblPr>
      <w:tblGrid>
        <w:gridCol w:w="5981"/>
      </w:tblGrid>
      <w:tr w:rsidR="00FA1C73" w:rsidRPr="002B358B" w14:paraId="2584F8BA" w14:textId="77777777" w:rsidTr="00FA1C73">
        <w:trPr>
          <w:cantSplit/>
          <w:trHeight w:val="246"/>
        </w:trPr>
        <w:tc>
          <w:tcPr>
            <w:tcW w:w="5981" w:type="dxa"/>
            <w:tcBorders>
              <w:top w:val="nil"/>
              <w:left w:val="nil"/>
              <w:bottom w:val="nil"/>
              <w:right w:val="nil"/>
            </w:tcBorders>
            <w:shd w:val="clear" w:color="auto" w:fill="FFFFFF"/>
            <w:vAlign w:val="center"/>
          </w:tcPr>
          <w:p w14:paraId="65CFB6E6" w14:textId="77777777" w:rsidR="00FA1C73" w:rsidRPr="002B358B" w:rsidRDefault="00FA1C73" w:rsidP="00FA1C73">
            <w:pPr>
              <w:autoSpaceDE w:val="0"/>
              <w:autoSpaceDN w:val="0"/>
              <w:adjustRightInd w:val="0"/>
              <w:spacing w:line="360" w:lineRule="auto"/>
              <w:jc w:val="both"/>
              <w:rPr>
                <w:rFonts w:eastAsia="Calibri"/>
              </w:rPr>
            </w:pPr>
          </w:p>
          <w:p w14:paraId="6CA88379" w14:textId="77777777" w:rsidR="00FA1C73" w:rsidRPr="002B358B" w:rsidRDefault="00FA1C73" w:rsidP="00FA1C73">
            <w:pPr>
              <w:autoSpaceDE w:val="0"/>
              <w:autoSpaceDN w:val="0"/>
              <w:adjustRightInd w:val="0"/>
              <w:spacing w:line="360" w:lineRule="auto"/>
              <w:jc w:val="both"/>
              <w:rPr>
                <w:rFonts w:eastAsia="Calibri"/>
                <w:b/>
                <w:bCs/>
              </w:rPr>
            </w:pPr>
          </w:p>
          <w:p w14:paraId="17C8A4B5" w14:textId="77777777" w:rsidR="00FA1C73" w:rsidRPr="002B358B" w:rsidRDefault="00FA1C73" w:rsidP="00FA1C73">
            <w:pPr>
              <w:autoSpaceDE w:val="0"/>
              <w:autoSpaceDN w:val="0"/>
              <w:adjustRightInd w:val="0"/>
              <w:spacing w:line="360" w:lineRule="auto"/>
              <w:jc w:val="center"/>
              <w:rPr>
                <w:rFonts w:eastAsia="Calibri"/>
                <w:b/>
                <w:bCs/>
              </w:rPr>
            </w:pPr>
            <w:r w:rsidRPr="002B358B">
              <w:rPr>
                <w:rFonts w:eastAsia="Calibri"/>
                <w:b/>
                <w:bCs/>
              </w:rPr>
              <w:t>List of Figures</w:t>
            </w:r>
          </w:p>
          <w:p w14:paraId="07636F07" w14:textId="77777777" w:rsidR="00FA1C73" w:rsidRPr="002B358B" w:rsidRDefault="00FA1C73" w:rsidP="00FA1C73">
            <w:pPr>
              <w:autoSpaceDE w:val="0"/>
              <w:autoSpaceDN w:val="0"/>
              <w:adjustRightInd w:val="0"/>
              <w:spacing w:line="360" w:lineRule="auto"/>
              <w:jc w:val="both"/>
              <w:rPr>
                <w:rFonts w:eastAsia="Calibri"/>
              </w:rPr>
            </w:pPr>
          </w:p>
          <w:p w14:paraId="0CA706A9" w14:textId="77777777" w:rsidR="00FA1C73" w:rsidRPr="002B358B" w:rsidRDefault="00FA1C73" w:rsidP="00FA1C73">
            <w:pPr>
              <w:autoSpaceDE w:val="0"/>
              <w:autoSpaceDN w:val="0"/>
              <w:adjustRightInd w:val="0"/>
              <w:spacing w:line="360" w:lineRule="auto"/>
              <w:jc w:val="both"/>
              <w:rPr>
                <w:rFonts w:eastAsia="Calibri"/>
                <w:lang w:val="en-GB"/>
              </w:rPr>
            </w:pPr>
            <w:r w:rsidRPr="002B358B">
              <w:rPr>
                <w:rFonts w:eastAsia="Calibri"/>
              </w:rPr>
              <w:t>Figure1. 1 Conceptual framework………………………</w:t>
            </w:r>
            <w:r>
              <w:rPr>
                <w:rFonts w:eastAsia="Calibri"/>
              </w:rPr>
              <w:t xml:space="preserve">..  </w:t>
            </w:r>
            <w:r w:rsidRPr="002B358B">
              <w:rPr>
                <w:rFonts w:eastAsia="Calibri"/>
              </w:rPr>
              <w:t>82</w:t>
            </w:r>
          </w:p>
          <w:p w14:paraId="7EB72DD3" w14:textId="77777777" w:rsidR="00FA1C73" w:rsidRPr="002B358B" w:rsidRDefault="00FA1C73" w:rsidP="00FA1C73">
            <w:pPr>
              <w:autoSpaceDE w:val="0"/>
              <w:autoSpaceDN w:val="0"/>
              <w:adjustRightInd w:val="0"/>
              <w:spacing w:line="360" w:lineRule="auto"/>
              <w:jc w:val="both"/>
              <w:rPr>
                <w:rFonts w:eastAsia="Calibri"/>
                <w:lang w:val="en-GB"/>
              </w:rPr>
            </w:pPr>
            <w:r w:rsidRPr="002B358B">
              <w:rPr>
                <w:rFonts w:eastAsia="Calibri"/>
              </w:rPr>
              <w:t>Figure 4.1 Bar Chart showing 7 categories of fire incidents……………………………………………………51</w:t>
            </w:r>
          </w:p>
          <w:p w14:paraId="5465ECD7" w14:textId="77777777" w:rsidR="00FA1C73" w:rsidRPr="002B358B" w:rsidRDefault="00FA1C73" w:rsidP="00FA1C73">
            <w:pPr>
              <w:autoSpaceDE w:val="0"/>
              <w:autoSpaceDN w:val="0"/>
              <w:adjustRightInd w:val="0"/>
              <w:spacing w:line="360" w:lineRule="auto"/>
              <w:jc w:val="both"/>
              <w:rPr>
                <w:rFonts w:eastAsia="Calibri"/>
                <w:lang w:val="en-GB"/>
              </w:rPr>
            </w:pPr>
            <w:r w:rsidRPr="002B358B">
              <w:rPr>
                <w:rFonts w:eastAsia="Calibri"/>
              </w:rPr>
              <w:t> Figure 4.2 Residential fires………………………………...54</w:t>
            </w:r>
          </w:p>
          <w:p w14:paraId="653BD13D" w14:textId="77777777" w:rsidR="00FA1C73" w:rsidRPr="002B358B" w:rsidRDefault="00FA1C73" w:rsidP="00FA1C73">
            <w:pPr>
              <w:spacing w:line="360" w:lineRule="auto"/>
              <w:jc w:val="both"/>
              <w:rPr>
                <w:color w:val="000000" w:themeColor="text1"/>
              </w:rPr>
            </w:pPr>
            <w:r w:rsidRPr="002B358B">
              <w:rPr>
                <w:color w:val="000000" w:themeColor="text1"/>
              </w:rPr>
              <w:t>Figure 4.8 Home Industries fires…………………………...63</w:t>
            </w:r>
          </w:p>
          <w:p w14:paraId="42D708E5" w14:textId="77777777" w:rsidR="00FA1C73" w:rsidRPr="002B358B" w:rsidRDefault="00FA1C73" w:rsidP="00FA1C73">
            <w:pPr>
              <w:spacing w:line="360" w:lineRule="auto"/>
              <w:jc w:val="both"/>
              <w:rPr>
                <w:color w:val="000000" w:themeColor="text1"/>
              </w:rPr>
            </w:pPr>
            <w:r w:rsidRPr="002B358B">
              <w:rPr>
                <w:color w:val="000000" w:themeColor="text1"/>
              </w:rPr>
              <w:t>Figure 4.7 Rubbish fires……………………………………65</w:t>
            </w:r>
          </w:p>
          <w:p w14:paraId="4E7D1D12" w14:textId="035F1D1A" w:rsidR="00FA1C73" w:rsidRPr="002B358B" w:rsidRDefault="00FA1C73" w:rsidP="00FA1C73">
            <w:pPr>
              <w:spacing w:line="360" w:lineRule="auto"/>
              <w:jc w:val="both"/>
            </w:pPr>
            <w:r w:rsidRPr="002B358B">
              <w:t>Figure 4.6 Grass fire……………………………</w:t>
            </w:r>
            <w:r w:rsidR="002E787F">
              <w:t>..</w:t>
            </w:r>
            <w:r w:rsidRPr="002B358B">
              <w:t>…………67</w:t>
            </w:r>
          </w:p>
          <w:p w14:paraId="30D11A40" w14:textId="77777777" w:rsidR="00FA1C73" w:rsidRPr="002B358B" w:rsidRDefault="00FA1C73" w:rsidP="00FA1C73">
            <w:pPr>
              <w:autoSpaceDE w:val="0"/>
              <w:autoSpaceDN w:val="0"/>
              <w:adjustRightInd w:val="0"/>
              <w:jc w:val="both"/>
            </w:pPr>
          </w:p>
          <w:p w14:paraId="60E8D381" w14:textId="77777777" w:rsidR="00FA1C73" w:rsidRPr="002B358B" w:rsidRDefault="00FA1C73" w:rsidP="00FA1C73">
            <w:pPr>
              <w:spacing w:line="360" w:lineRule="auto"/>
              <w:jc w:val="both"/>
            </w:pPr>
            <w:r w:rsidRPr="002B358B">
              <w:t>Figure 4.5 Commercial fires………………………………...69</w:t>
            </w:r>
          </w:p>
          <w:p w14:paraId="5F06D5ED" w14:textId="77777777" w:rsidR="00FA1C73" w:rsidRPr="002B358B" w:rsidRDefault="00FA1C73" w:rsidP="00FA1C73">
            <w:pPr>
              <w:spacing w:line="360" w:lineRule="auto"/>
              <w:jc w:val="both"/>
            </w:pPr>
            <w:r w:rsidRPr="002B358B">
              <w:t>Figure 4.4 Industrial fires…………………………………...71</w:t>
            </w:r>
          </w:p>
          <w:p w14:paraId="2449CBAD" w14:textId="77777777" w:rsidR="00FA1C73" w:rsidRPr="002B358B" w:rsidRDefault="00FA1C73" w:rsidP="00FA1C73">
            <w:pPr>
              <w:spacing w:line="360" w:lineRule="auto"/>
              <w:contextualSpacing/>
              <w:jc w:val="both"/>
            </w:pPr>
            <w:r w:rsidRPr="002B358B">
              <w:t>Figure 4.11 Fire risk assessment for the year 2024</w:t>
            </w:r>
            <w:r w:rsidRPr="002B358B">
              <w:rPr>
                <w:color w:val="000000" w:themeColor="text1"/>
              </w:rPr>
              <w:t xml:space="preserve"> ……………………………………………………………...73</w:t>
            </w:r>
          </w:p>
          <w:p w14:paraId="3E1778E0" w14:textId="77777777" w:rsidR="00FA1C73" w:rsidRPr="002B358B" w:rsidRDefault="00FA1C73" w:rsidP="00FA1C73">
            <w:pPr>
              <w:autoSpaceDE w:val="0"/>
              <w:autoSpaceDN w:val="0"/>
              <w:adjustRightInd w:val="0"/>
              <w:spacing w:line="320" w:lineRule="atLeast"/>
              <w:ind w:right="60"/>
              <w:jc w:val="both"/>
              <w:rPr>
                <w:rFonts w:ascii="Arial" w:hAnsi="Arial" w:cs="Arial"/>
                <w:color w:val="010205"/>
                <w:sz w:val="22"/>
                <w:szCs w:val="22"/>
              </w:rPr>
            </w:pPr>
          </w:p>
        </w:tc>
      </w:tr>
    </w:tbl>
    <w:p w14:paraId="5BBEA4C9" w14:textId="77777777" w:rsidR="006C04F4" w:rsidRPr="00112F64" w:rsidRDefault="006C04F4" w:rsidP="002B358B">
      <w:pPr>
        <w:pStyle w:val="Heading3"/>
        <w:jc w:val="both"/>
      </w:pPr>
    </w:p>
    <w:p w14:paraId="16409BF5" w14:textId="47ABB7AE" w:rsidR="007543E4" w:rsidRDefault="007543E4" w:rsidP="002B358B">
      <w:pPr>
        <w:spacing w:line="360" w:lineRule="auto"/>
        <w:jc w:val="both"/>
      </w:pPr>
    </w:p>
    <w:p w14:paraId="21B27876" w14:textId="56C41012" w:rsidR="007543E4" w:rsidRDefault="007543E4" w:rsidP="002B358B">
      <w:pPr>
        <w:spacing w:line="360" w:lineRule="auto"/>
        <w:jc w:val="both"/>
      </w:pPr>
    </w:p>
    <w:p w14:paraId="3AA96E23" w14:textId="10F30843" w:rsidR="007543E4" w:rsidRDefault="007543E4" w:rsidP="002B358B">
      <w:pPr>
        <w:spacing w:line="360" w:lineRule="auto"/>
        <w:jc w:val="both"/>
      </w:pPr>
    </w:p>
    <w:p w14:paraId="0BF387A7" w14:textId="77777777" w:rsidR="005C1C7A" w:rsidRDefault="005C1C7A" w:rsidP="002B358B">
      <w:pPr>
        <w:spacing w:line="360" w:lineRule="auto"/>
        <w:jc w:val="both"/>
        <w:sectPr w:rsidR="005C1C7A" w:rsidSect="005C1C7A">
          <w:footerReference w:type="default" r:id="rId11"/>
          <w:pgSz w:w="12240" w:h="15840"/>
          <w:pgMar w:top="1440" w:right="1440" w:bottom="1440" w:left="1440" w:header="720" w:footer="720" w:gutter="0"/>
          <w:pgNumType w:fmt="lowerRoman" w:start="2"/>
          <w:cols w:space="720"/>
          <w:docGrid w:linePitch="360"/>
        </w:sectPr>
      </w:pPr>
    </w:p>
    <w:p w14:paraId="0CF4FE5D" w14:textId="3B03D714" w:rsidR="002D47D9" w:rsidRDefault="002D47D9" w:rsidP="006C3EB9">
      <w:pPr>
        <w:pStyle w:val="TOCHeading1"/>
      </w:pPr>
    </w:p>
    <w:p w14:paraId="4BE1D184" w14:textId="6D21C428" w:rsidR="006E5540" w:rsidRPr="006B628C" w:rsidRDefault="006E5540" w:rsidP="006C3EB9">
      <w:pPr>
        <w:pStyle w:val="Heading1"/>
      </w:pPr>
      <w:bookmarkStart w:id="19" w:name="_Toc215652853"/>
      <w:r w:rsidRPr="006B628C">
        <w:t>CHAPTER 1</w:t>
      </w:r>
      <w:r w:rsidR="006B628C" w:rsidRPr="006B628C">
        <w:t xml:space="preserve"> </w:t>
      </w:r>
      <w:bookmarkEnd w:id="19"/>
    </w:p>
    <w:p w14:paraId="312F8A73" w14:textId="77777777" w:rsidR="006E5540" w:rsidRPr="00BE2000" w:rsidRDefault="006E5540" w:rsidP="002B358B">
      <w:pPr>
        <w:spacing w:line="360" w:lineRule="auto"/>
        <w:jc w:val="both"/>
        <w:rPr>
          <w:rFonts w:ascii="Calibri" w:eastAsia="Calibri" w:hAnsi="Calibri"/>
          <w:color w:val="000000" w:themeColor="text1"/>
          <w:sz w:val="22"/>
          <w:szCs w:val="22"/>
        </w:rPr>
      </w:pPr>
    </w:p>
    <w:p w14:paraId="07DF1AEC" w14:textId="77777777" w:rsidR="006E5540" w:rsidRPr="00BE2000" w:rsidRDefault="006E5540" w:rsidP="00394501">
      <w:pPr>
        <w:pStyle w:val="Heading2"/>
      </w:pPr>
      <w:bookmarkStart w:id="20" w:name="_Toc215652854"/>
      <w:r w:rsidRPr="00A96352">
        <w:t>1.1 Introduction</w:t>
      </w:r>
      <w:bookmarkEnd w:id="20"/>
      <w:r w:rsidRPr="00A96352">
        <w:t xml:space="preserve"> </w:t>
      </w:r>
    </w:p>
    <w:p w14:paraId="15188B9B" w14:textId="6161BD6E" w:rsidR="006E5540" w:rsidRDefault="006E5540" w:rsidP="002B358B">
      <w:pPr>
        <w:spacing w:line="360" w:lineRule="auto"/>
        <w:jc w:val="both"/>
        <w:rPr>
          <w:rFonts w:eastAsia="Calibri"/>
          <w:color w:val="000000" w:themeColor="text1"/>
        </w:rPr>
      </w:pPr>
      <w:r w:rsidRPr="00BE2000">
        <w:rPr>
          <w:rFonts w:eastAsia="Calibri"/>
          <w:color w:val="000000" w:themeColor="text1"/>
        </w:rPr>
        <w:t>Fire hazards stand out as a major threat among the many safety and infrastructure resilience issues that urban areas, including Harare, face globally</w:t>
      </w:r>
      <w:r w:rsidR="00083806" w:rsidRPr="00BE2000">
        <w:rPr>
          <w:color w:val="000000" w:themeColor="text1"/>
        </w:rPr>
        <w:t xml:space="preserve"> (</w:t>
      </w:r>
      <w:r w:rsidR="00083806" w:rsidRPr="00BE2000">
        <w:rPr>
          <w:rFonts w:eastAsia="Calibri"/>
          <w:color w:val="000000" w:themeColor="text1"/>
        </w:rPr>
        <w:t>Zhakata, 2024)</w:t>
      </w:r>
      <w:r w:rsidRPr="00BE2000">
        <w:rPr>
          <w:rFonts w:eastAsia="Calibri"/>
          <w:color w:val="000000" w:themeColor="text1"/>
        </w:rPr>
        <w:t>. Rapid urbanisation, informal settlements, poor infrastructure, and restricted access to firefighting resources all increase the risk of fire outbreaks in densely populated cities, like Zimbabwe's capital, Harare (Manyunzu, 2022). In addition to endangering people and property, these risks also obstruct social stability and economic growth. The purpose of this research is to evaluate the effects of fire hazards in Harare city by investigating the root causes of fire incidents, the degree of damage they cause, and the efficiency of current mitigation strategies. Policymakers and other interested parties can create focused plans to lower the risk of fire, improve emergency response, and create safer urban areas by comprehending these dynamics. As a result, this research offers insightful information about the opportunities and difficulties of controlling fire risks in urban environments that are expanding quickly.</w:t>
      </w:r>
    </w:p>
    <w:p w14:paraId="67C569D9" w14:textId="77777777" w:rsidR="008E325B" w:rsidRPr="00BE2000" w:rsidRDefault="008E325B" w:rsidP="002B358B">
      <w:pPr>
        <w:spacing w:line="360" w:lineRule="auto"/>
        <w:jc w:val="both"/>
        <w:rPr>
          <w:rFonts w:eastAsia="Calibri"/>
          <w:color w:val="000000" w:themeColor="text1"/>
        </w:rPr>
      </w:pPr>
    </w:p>
    <w:p w14:paraId="69B071CD" w14:textId="77777777" w:rsidR="006E5540" w:rsidRPr="00BE2000" w:rsidRDefault="006E5540" w:rsidP="00394501">
      <w:pPr>
        <w:pStyle w:val="Heading2"/>
      </w:pPr>
      <w:bookmarkStart w:id="21" w:name="_Toc215652855"/>
      <w:bookmarkStart w:id="22" w:name="_Hlk212465052"/>
      <w:r w:rsidRPr="00BE2000">
        <w:t>1.2 Research Background</w:t>
      </w:r>
      <w:bookmarkEnd w:id="21"/>
      <w:r w:rsidRPr="00BE2000">
        <w:t xml:space="preserve"> </w:t>
      </w:r>
    </w:p>
    <w:p w14:paraId="1C77A580" w14:textId="77777777" w:rsidR="00FE0A10" w:rsidRDefault="00FE0A10" w:rsidP="00FA1C73">
      <w:pPr>
        <w:pStyle w:val="NormalWeb"/>
        <w:spacing w:line="360" w:lineRule="auto"/>
        <w:jc w:val="both"/>
      </w:pPr>
      <w:bookmarkStart w:id="23" w:name="_Toc215652857"/>
      <w:bookmarkEnd w:id="22"/>
      <w:r>
        <w:t>Urban fire hazards constitute a major global public safety concern, with far-reaching implications for human life, infrastructure, and socio-economic stability. Globally, fires are responsible for significant mortality and economic losses, with estimates indicating that more than 180,000 people die annually due to fire-related incidents (Cvetkovsa et al., 2024). Beyond fatalities, fires disrupt livelihoods, destroy property, and strain already limited emergency response systems. As urban populations continue to grow, particularly in rapidly expanding cities, the risk of fire incidents increases due to higher settlement densities and complex built environments. This underscores the importance of addressing urban fire risks as a critical component of sustainable urban development and disaster risk reduction.</w:t>
      </w:r>
    </w:p>
    <w:p w14:paraId="3514DD3E" w14:textId="77777777" w:rsidR="00FE0A10" w:rsidRDefault="00FE0A10" w:rsidP="00FA1C73">
      <w:pPr>
        <w:pStyle w:val="NormalWeb"/>
        <w:spacing w:line="360" w:lineRule="auto"/>
        <w:jc w:val="both"/>
      </w:pPr>
      <w:r>
        <w:t xml:space="preserve">In low- and middle-income countries (LMICs), the burden of urban fire hazards is disproportionately high. Rapid urbanisation, often occurring without adequate planning and </w:t>
      </w:r>
      <w:r>
        <w:lastRenderedPageBreak/>
        <w:t>infrastructure development, has contributed to increased exposure and vulnerability to fires. Existing literature highlights several well-established risk factors, including informal settlements characterised by high-density housing, use of flammable construction materials, unsafe energy practices, and limited access for emergency services (Walls et al., 2020; Adiba, 2023; Zhang et al., 2023). Furthermore, weak institutional capacity, inadequate enforcement of fire safety regulations, and limited public awareness exacerbate the problem. While these factors are widely documented, there remains limited context-specific understanding of how they interact within particular urban settings, especially in African cities, where data is often fragmented or insufficient.</w:t>
      </w:r>
    </w:p>
    <w:p w14:paraId="7C7860C5" w14:textId="77777777" w:rsidR="00FE0A10" w:rsidRDefault="00FE0A10" w:rsidP="001C5001">
      <w:pPr>
        <w:pStyle w:val="NormalWeb"/>
        <w:spacing w:line="360" w:lineRule="auto"/>
        <w:jc w:val="both"/>
      </w:pPr>
      <w:r>
        <w:t>At the local level, the city of Harare, Zimbabwe, exemplifies many of the challenges associated with urban fire risk in rapidly growing cities. The city has experienced a notable increase in fire incidents, with approximately 780 cases recorded in 2024 alone (Freddy, 2024). These incidents are attributed to a combination of factors, including electrical faults, gas explosions, and human negligence. Harare’s urban landscape—characterised by a mix of formal and informal settlements, expanding commercial activities, and aging infrastructure—creates conditions that heighten both fire occurrence and spread. High-density suburbs such as Mbare, Mufakose, and Glen View are particularly vulnerable due to the prevalence of flammable building materials and inadequate fire safety infrastructure. In addition, challenges such as unreliable water supply, illegal electrical connections, and limited emergency response capacity further constrain effective fire management.</w:t>
      </w:r>
    </w:p>
    <w:p w14:paraId="3125702F" w14:textId="77777777" w:rsidR="00FE0A10" w:rsidRDefault="00FE0A10" w:rsidP="001C5001">
      <w:pPr>
        <w:pStyle w:val="NormalWeb"/>
        <w:spacing w:line="360" w:lineRule="auto"/>
        <w:jc w:val="both"/>
      </w:pPr>
      <w:r>
        <w:t>Although the frequency and impacts of urban fires in Harare are evident, existing studies and reports tend to be fragmented, descriptive, or incident-based, with limited comprehensive analysis of underlying risk drivers, vulnerability patterns, and the effectiveness of current mitigation strategies (Bhanye et al., 2023). This reveals a critical knowledge gap in understanding the multidimensional nature of urban fire risk within the Harare context. Without such evidence, it is difficult for policymakers, urban planners, and emergency services to design targeted, effective, and sustainable interventions.</w:t>
      </w:r>
    </w:p>
    <w:p w14:paraId="044D966A" w14:textId="5EA89C32" w:rsidR="00FE0A10" w:rsidRDefault="00FE0A10" w:rsidP="001C5001">
      <w:pPr>
        <w:pStyle w:val="NormalWeb"/>
        <w:spacing w:line="360" w:lineRule="auto"/>
        <w:jc w:val="both"/>
      </w:pPr>
      <w:r>
        <w:t xml:space="preserve">Therefore, this </w:t>
      </w:r>
      <w:r w:rsidR="00472A3A">
        <w:t>research</w:t>
      </w:r>
      <w:r>
        <w:t xml:space="preserve"> seeks to systematically examine the extent and determinants of urban fire risk in Harare, focusing on factors such as exposure, vulnerability, ignition sources, emergency response capacity, and recovery mechanisms. By addressing these gaps, the research aims to </w:t>
      </w:r>
      <w:r>
        <w:lastRenderedPageBreak/>
        <w:t xml:space="preserve">generate evidence-based insights that can inform policy formulation, improve fire risk reduction strategies, and support integrated urban planning. Ultimately, the </w:t>
      </w:r>
      <w:r w:rsidR="00472A3A">
        <w:t>research</w:t>
      </w:r>
      <w:r>
        <w:t xml:space="preserve"> contributes not only to enhancing urban safety and resilience in Harare but also to broader discussions on disaster risk management in rapidly urbanising cities within Zimbabwe and similar LMIC contexts.</w:t>
      </w:r>
    </w:p>
    <w:bookmarkEnd w:id="23"/>
    <w:p w14:paraId="31F5C9D2" w14:textId="6A7764F0"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In the calendar year 2024, Harare city recorded 780 fire incidents, primarily caused by gas explosions, electrical short circuits, and negligent </w:t>
      </w:r>
      <w:r w:rsidR="001B1792" w:rsidRPr="00BE2000">
        <w:rPr>
          <w:rFonts w:eastAsia="Calibri"/>
          <w:color w:val="000000" w:themeColor="text1"/>
        </w:rPr>
        <w:t>behaviour</w:t>
      </w:r>
      <w:r w:rsidRPr="00BE2000">
        <w:rPr>
          <w:rFonts w:eastAsia="Calibri"/>
          <w:color w:val="000000" w:themeColor="text1"/>
        </w:rPr>
        <w:t>, including improper extinguishment of cigarettes, unattended candles, and cooking appliances (Freddy</w:t>
      </w:r>
      <w:r w:rsidR="00FE0A10">
        <w:rPr>
          <w:rFonts w:eastAsia="Calibri"/>
          <w:color w:val="000000" w:themeColor="text1"/>
        </w:rPr>
        <w:t>,</w:t>
      </w:r>
      <w:r w:rsidRPr="00BE2000">
        <w:rPr>
          <w:rFonts w:eastAsia="Calibri"/>
          <w:color w:val="000000" w:themeColor="text1"/>
        </w:rPr>
        <w:t xml:space="preserve"> 2024). Fire hazards classified as residential, market, industrial, commercial, veld, dumpsite, and home industry fires are prevalent in Harare, frequently leading to injuries, fatalities, property damage, economic disruption, and environmental pollution (Harare fire brigade, 2024). </w:t>
      </w:r>
    </w:p>
    <w:p w14:paraId="3D4C424C" w14:textId="77777777" w:rsidR="006E5540" w:rsidRDefault="006E5540" w:rsidP="002B358B">
      <w:pPr>
        <w:spacing w:line="360" w:lineRule="auto"/>
        <w:jc w:val="both"/>
        <w:rPr>
          <w:rFonts w:eastAsia="Calibri"/>
          <w:color w:val="000000" w:themeColor="text1"/>
        </w:rPr>
      </w:pPr>
      <w:r w:rsidRPr="00BE2000">
        <w:rPr>
          <w:rFonts w:eastAsia="Calibri"/>
          <w:color w:val="000000" w:themeColor="text1"/>
        </w:rPr>
        <w:t>Over the past ten years, the city of Harare has seen numerous fire outbreaks, some of which have destroyed hundreds of homes in a matter of minutes (Bhanye et al., 2023). Suburbs like Mbare, Mufakose and Glen View, are especially vulnerable due to the high density of homes built with flammable materials such as wood, corrugated iron sheets, and plastics (Harare Fire Brigade, 2024). Basic fire safety precautions like firebreaks, accessible roads, and firefighting infrastructure are frequently absent from these areas.</w:t>
      </w:r>
    </w:p>
    <w:p w14:paraId="0B53C859" w14:textId="77777777" w:rsidR="008E325B" w:rsidRPr="00BE2000" w:rsidRDefault="008E325B" w:rsidP="002B358B">
      <w:pPr>
        <w:spacing w:line="360" w:lineRule="auto"/>
        <w:jc w:val="both"/>
        <w:rPr>
          <w:rFonts w:eastAsia="Calibri"/>
          <w:color w:val="000000" w:themeColor="text1"/>
        </w:rPr>
      </w:pPr>
    </w:p>
    <w:p w14:paraId="3198429D" w14:textId="77777777" w:rsidR="006E5540" w:rsidRDefault="006E5540" w:rsidP="002B358B">
      <w:pPr>
        <w:spacing w:line="360" w:lineRule="auto"/>
        <w:jc w:val="both"/>
        <w:rPr>
          <w:rFonts w:eastAsia="Calibri"/>
          <w:color w:val="000000" w:themeColor="text1"/>
        </w:rPr>
      </w:pPr>
      <w:r w:rsidRPr="00BE2000">
        <w:rPr>
          <w:rFonts w:eastAsia="Calibri"/>
          <w:color w:val="000000" w:themeColor="text1"/>
        </w:rPr>
        <w:t>Infrastructure deficiencies such as outdated electrical wiring, unauthorised electrical connections, and inadequate urban planning also increase fire risks (Masimba &amp; Walnycki, 2024). Lack of community awareness and enforcement of fire safety laws exacerbate the situation (Toriro, 2024). Harare's urbanisation has accelerated faster than infrastructure development due to rural-urban migration, increasing the frequency of fire outbreaks (Marondedze, 2022).</w:t>
      </w:r>
    </w:p>
    <w:p w14:paraId="5CAF7EF6" w14:textId="77777777" w:rsidR="008E325B" w:rsidRPr="00BE2000" w:rsidRDefault="008E325B" w:rsidP="002B358B">
      <w:pPr>
        <w:spacing w:line="360" w:lineRule="auto"/>
        <w:jc w:val="both"/>
        <w:rPr>
          <w:rFonts w:eastAsia="Calibri"/>
          <w:color w:val="000000" w:themeColor="text1"/>
        </w:rPr>
      </w:pPr>
    </w:p>
    <w:p w14:paraId="3940552E" w14:textId="53C85CCE" w:rsidR="006E5540" w:rsidRDefault="006E5540" w:rsidP="002B358B">
      <w:pPr>
        <w:spacing w:line="360" w:lineRule="auto"/>
        <w:jc w:val="both"/>
        <w:rPr>
          <w:rFonts w:eastAsia="Calibri"/>
          <w:color w:val="000000" w:themeColor="text1"/>
        </w:rPr>
      </w:pPr>
      <w:r w:rsidRPr="00BE2000">
        <w:rPr>
          <w:rFonts w:eastAsia="Calibri"/>
          <w:color w:val="000000" w:themeColor="text1"/>
        </w:rPr>
        <w:t xml:space="preserve">Despite how frequently and severely fires occur in Harare, little thorough research has been done to examine their underlying causes, socioeconomic effects, and the efficacy of current mitigation strategies. It is challenging to create focused policies or urban planning strategies because most existing reports are </w:t>
      </w:r>
      <w:r w:rsidR="00360AD2" w:rsidRPr="00BE2000">
        <w:rPr>
          <w:rFonts w:eastAsia="Calibri"/>
          <w:color w:val="000000" w:themeColor="text1"/>
        </w:rPr>
        <w:t>circumstantial</w:t>
      </w:r>
      <w:r w:rsidRPr="00BE2000">
        <w:rPr>
          <w:rFonts w:eastAsia="Calibri"/>
          <w:color w:val="000000" w:themeColor="text1"/>
        </w:rPr>
        <w:t xml:space="preserve"> or localised (Bhanye et al., 2023). To comprehend these dynamics and guide sustainable interventions, a methodical evaluation is essential.</w:t>
      </w:r>
    </w:p>
    <w:p w14:paraId="137CF208" w14:textId="77777777" w:rsidR="00821FCC" w:rsidRPr="00BE2000" w:rsidRDefault="00821FCC" w:rsidP="002B358B">
      <w:pPr>
        <w:spacing w:line="360" w:lineRule="auto"/>
        <w:jc w:val="both"/>
        <w:rPr>
          <w:rFonts w:eastAsia="Calibri"/>
          <w:color w:val="000000" w:themeColor="text1"/>
        </w:rPr>
      </w:pPr>
    </w:p>
    <w:p w14:paraId="74109EDF" w14:textId="75C43B01"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lastRenderedPageBreak/>
        <w:t xml:space="preserve">By offering evidence-based insights to community organisations, urban planners, and policymakers, this research seeks to close these gaps. The findings may also contribute to broader discussions on urban hazard management in Zimbabwean cities, where safety infrastructure and regulatory enforcement often </w:t>
      </w:r>
      <w:r w:rsidR="002B358B" w:rsidRPr="00BE2000">
        <w:rPr>
          <w:rFonts w:eastAsia="Calibri"/>
          <w:color w:val="000000" w:themeColor="text1"/>
        </w:rPr>
        <w:t>lag</w:t>
      </w:r>
      <w:r w:rsidRPr="00BE2000">
        <w:rPr>
          <w:rFonts w:eastAsia="Calibri"/>
          <w:color w:val="000000" w:themeColor="text1"/>
        </w:rPr>
        <w:t xml:space="preserve"> rapid urban growth.</w:t>
      </w:r>
    </w:p>
    <w:p w14:paraId="3CABD70F" w14:textId="77777777" w:rsidR="006E5540" w:rsidRPr="00821FCC" w:rsidRDefault="006E5540" w:rsidP="00394501">
      <w:pPr>
        <w:pStyle w:val="Heading2"/>
      </w:pPr>
      <w:bookmarkStart w:id="24" w:name="_Toc215652858"/>
      <w:r w:rsidRPr="00821FCC">
        <w:t>1.3 Statement of the problem</w:t>
      </w:r>
      <w:bookmarkEnd w:id="24"/>
    </w:p>
    <w:p w14:paraId="2D1BB7AD" w14:textId="4A8B95EF" w:rsidR="00FE0A10" w:rsidRDefault="00FE0A10" w:rsidP="00A96352">
      <w:pPr>
        <w:pStyle w:val="NormalWeb"/>
        <w:spacing w:line="360" w:lineRule="auto"/>
        <w:jc w:val="both"/>
      </w:pPr>
      <w:bookmarkStart w:id="25" w:name="_Toc215652859"/>
      <w:r>
        <w:t>The rising number and intensity of fire incidents in Harare city highlight a serious urban safety issue that requires immediate attention. Despite efforts by city authorities to manage fire risks, many areas remain highly vulnerable due to poor urban planning, limited access to firefighting resources, and inadequate infrastructure. These fire hazards significantly undermine social and economic development by causing loss of life, destruction of property, and disruption of livelihoods. A critical challenge in addressing this problem is the lack of comprehensive and systematic data on the underlying drivers of fire risk, including exposure patterns, vulnerability conditions, ignition sources, and the effectiveness of existing mitigation strategies. As a result, current prevention and response efforts are often reactive, fragmented, and insufficiently targeted. To address this gap, this study seeks to systematically assess the extent and determinants of urban fire risk in Harare by analysing key risk components such as physical exposure, socio-economic vulnerability, common ignition sources, and the capacity of emergency response systems. The study will also evaluate the effectiveness of existing fire risk reduction measures and institutional frameworks. By adopting this approach, the research aims to generate evidence-based insights that can support the development of targeted policies, improved urban planning strategies, and more effective fire risk management interventions. Ultimately, the study intends to contribute to enhancing urban resilience and reducing fire-related losses in Harare.</w:t>
      </w:r>
    </w:p>
    <w:p w14:paraId="16B18F67" w14:textId="77777777" w:rsidR="006E5540" w:rsidRPr="00DF6172" w:rsidRDefault="006E5540" w:rsidP="00394501">
      <w:pPr>
        <w:pStyle w:val="Heading2"/>
      </w:pPr>
      <w:r w:rsidRPr="00DF6172">
        <w:t>1.4 Research Aim</w:t>
      </w:r>
      <w:bookmarkEnd w:id="25"/>
    </w:p>
    <w:p w14:paraId="27715126" w14:textId="3931D778" w:rsidR="00D71759" w:rsidRDefault="00D71759" w:rsidP="00DF6172">
      <w:bookmarkStart w:id="26" w:name="_Toc215652860"/>
      <w:r w:rsidRPr="00DF6172">
        <w:t>To assess the determinants and impacts of urban fire risk and evaluate mitigation strategies in Harare city.</w:t>
      </w:r>
    </w:p>
    <w:p w14:paraId="26AEB9C8" w14:textId="77777777" w:rsidR="00DF6172" w:rsidRPr="00DF6172" w:rsidRDefault="00DF6172" w:rsidP="00DF6172">
      <w:pPr>
        <w:rPr>
          <w:lang w:val="en-GB" w:eastAsia="en-US"/>
        </w:rPr>
      </w:pPr>
    </w:p>
    <w:p w14:paraId="3C752C96" w14:textId="59E453D7" w:rsidR="006E5540" w:rsidRPr="00BE2000" w:rsidRDefault="006E5540" w:rsidP="00394501">
      <w:pPr>
        <w:pStyle w:val="Heading2"/>
      </w:pPr>
      <w:r w:rsidRPr="00BE2000">
        <w:t>1.5 Research Objectives</w:t>
      </w:r>
      <w:bookmarkEnd w:id="26"/>
    </w:p>
    <w:p w14:paraId="71E9D706" w14:textId="77777777" w:rsidR="00DF6172" w:rsidRDefault="00D71759">
      <w:pPr>
        <w:pStyle w:val="NormalWeb"/>
        <w:numPr>
          <w:ilvl w:val="0"/>
          <w:numId w:val="24"/>
        </w:numPr>
        <w:spacing w:line="360" w:lineRule="auto"/>
        <w:rPr>
          <w:b/>
          <w:bCs/>
        </w:rPr>
      </w:pPr>
      <w:bookmarkStart w:id="27" w:name="_Toc215652861"/>
      <w:bookmarkStart w:id="28" w:name="_Hlk210327427"/>
      <w:r w:rsidRPr="00D71759">
        <w:rPr>
          <w:rStyle w:val="Strong"/>
          <w:rFonts w:eastAsiaTheme="majorEastAsia"/>
          <w:b w:val="0"/>
          <w:bCs w:val="0"/>
        </w:rPr>
        <w:t>To identify the main causes of urban fire hazards in Harare city.</w:t>
      </w:r>
      <w:r w:rsidRPr="00D71759">
        <w:rPr>
          <w:b/>
          <w:bCs/>
        </w:rPr>
        <w:t xml:space="preserve"> </w:t>
      </w:r>
    </w:p>
    <w:p w14:paraId="00F4842D" w14:textId="77777777" w:rsidR="00DF6172" w:rsidRDefault="00D71759">
      <w:pPr>
        <w:pStyle w:val="NormalWeb"/>
        <w:numPr>
          <w:ilvl w:val="0"/>
          <w:numId w:val="24"/>
        </w:numPr>
        <w:spacing w:line="360" w:lineRule="auto"/>
        <w:rPr>
          <w:b/>
          <w:bCs/>
        </w:rPr>
      </w:pPr>
      <w:r w:rsidRPr="00DF6172">
        <w:rPr>
          <w:rStyle w:val="Strong"/>
          <w:rFonts w:eastAsiaTheme="majorEastAsia"/>
          <w:b w:val="0"/>
          <w:bCs w:val="0"/>
        </w:rPr>
        <w:t>To assess the socioeconomic impacts of urban fire incidents in Harare city.</w:t>
      </w:r>
      <w:r w:rsidRPr="00D71759">
        <w:t xml:space="preserve"> </w:t>
      </w:r>
    </w:p>
    <w:p w14:paraId="0FBF17D2" w14:textId="6309905F" w:rsidR="00D71759" w:rsidRPr="00DF6172" w:rsidRDefault="00D71759">
      <w:pPr>
        <w:pStyle w:val="NormalWeb"/>
        <w:numPr>
          <w:ilvl w:val="0"/>
          <w:numId w:val="24"/>
        </w:numPr>
        <w:spacing w:line="360" w:lineRule="auto"/>
        <w:rPr>
          <w:b/>
          <w:bCs/>
        </w:rPr>
      </w:pPr>
      <w:r w:rsidRPr="00DF6172">
        <w:rPr>
          <w:rStyle w:val="Strong"/>
          <w:rFonts w:eastAsiaTheme="majorEastAsia"/>
          <w:b w:val="0"/>
          <w:bCs w:val="0"/>
        </w:rPr>
        <w:lastRenderedPageBreak/>
        <w:t>To evaluate the effectiveness of existing fire prevention mechanisms in mitigating fire risks in Harare city.</w:t>
      </w:r>
      <w:r w:rsidRPr="00D71759">
        <w:t xml:space="preserve"> </w:t>
      </w:r>
    </w:p>
    <w:p w14:paraId="2B1C712C" w14:textId="465C2C3D" w:rsidR="006E5540" w:rsidRPr="00D71759" w:rsidRDefault="006E5540">
      <w:pPr>
        <w:pStyle w:val="Heading2"/>
        <w:numPr>
          <w:ilvl w:val="1"/>
          <w:numId w:val="25"/>
        </w:numPr>
      </w:pPr>
      <w:r w:rsidRPr="00D71759">
        <w:t>Research Questions</w:t>
      </w:r>
      <w:bookmarkEnd w:id="27"/>
    </w:p>
    <w:p w14:paraId="3380BBC0" w14:textId="77777777" w:rsidR="00DF6172" w:rsidRDefault="006E5540">
      <w:pPr>
        <w:numPr>
          <w:ilvl w:val="0"/>
          <w:numId w:val="1"/>
        </w:numPr>
        <w:spacing w:line="360" w:lineRule="auto"/>
        <w:ind w:left="851"/>
        <w:contextualSpacing/>
        <w:jc w:val="both"/>
        <w:rPr>
          <w:rFonts w:eastAsia="Calibri"/>
          <w:color w:val="000000" w:themeColor="text1"/>
        </w:rPr>
      </w:pPr>
      <w:r w:rsidRPr="00BE2000">
        <w:rPr>
          <w:rFonts w:eastAsia="Calibri"/>
          <w:color w:val="000000" w:themeColor="text1"/>
        </w:rPr>
        <w:t>What are the main causes of fire hazards in urban areas?</w:t>
      </w:r>
      <w:bookmarkStart w:id="29" w:name="_Hlk210327207"/>
    </w:p>
    <w:p w14:paraId="0A257AAA" w14:textId="77777777" w:rsidR="00DF6172" w:rsidRDefault="006E5540">
      <w:pPr>
        <w:numPr>
          <w:ilvl w:val="0"/>
          <w:numId w:val="1"/>
        </w:numPr>
        <w:spacing w:line="360" w:lineRule="auto"/>
        <w:ind w:left="851"/>
        <w:contextualSpacing/>
        <w:jc w:val="both"/>
        <w:rPr>
          <w:rFonts w:eastAsia="Calibri"/>
          <w:color w:val="000000" w:themeColor="text1"/>
        </w:rPr>
      </w:pPr>
      <w:r w:rsidRPr="00DF6172">
        <w:rPr>
          <w:rFonts w:eastAsia="Calibri"/>
          <w:color w:val="000000" w:themeColor="text1"/>
        </w:rPr>
        <w:t>What are the impacts of urban fire incidents on business, residents, property, and the environment?</w:t>
      </w:r>
      <w:bookmarkStart w:id="30" w:name="_Hlk210327248"/>
      <w:bookmarkEnd w:id="29"/>
    </w:p>
    <w:p w14:paraId="3BEFD34F" w14:textId="026F7D45" w:rsidR="006E5540" w:rsidRDefault="006E5540">
      <w:pPr>
        <w:numPr>
          <w:ilvl w:val="0"/>
          <w:numId w:val="1"/>
        </w:numPr>
        <w:spacing w:line="360" w:lineRule="auto"/>
        <w:ind w:left="851"/>
        <w:contextualSpacing/>
        <w:jc w:val="both"/>
        <w:rPr>
          <w:rFonts w:eastAsia="Calibri"/>
          <w:color w:val="000000" w:themeColor="text1"/>
        </w:rPr>
      </w:pPr>
      <w:r w:rsidRPr="00DF6172">
        <w:rPr>
          <w:rFonts w:eastAsia="Calibri"/>
          <w:color w:val="000000" w:themeColor="text1"/>
        </w:rPr>
        <w:t>How can the existing fire prevention and response mechanisms be enhanced to mitigate the impact of fire risks?</w:t>
      </w:r>
    </w:p>
    <w:p w14:paraId="4FBCF3F7" w14:textId="77777777" w:rsidR="00777CA7" w:rsidRPr="00DF6172" w:rsidRDefault="00777CA7" w:rsidP="00777CA7">
      <w:pPr>
        <w:spacing w:line="360" w:lineRule="auto"/>
        <w:ind w:left="851"/>
        <w:contextualSpacing/>
        <w:jc w:val="both"/>
        <w:rPr>
          <w:rFonts w:eastAsia="Calibri"/>
          <w:color w:val="000000" w:themeColor="text1"/>
        </w:rPr>
      </w:pPr>
    </w:p>
    <w:p w14:paraId="7A8A4A33" w14:textId="77777777" w:rsidR="006E5540" w:rsidRPr="00BE2000" w:rsidRDefault="006E5540" w:rsidP="00394501">
      <w:pPr>
        <w:pStyle w:val="Heading2"/>
      </w:pPr>
      <w:bookmarkStart w:id="31" w:name="_Toc215652862"/>
      <w:bookmarkEnd w:id="28"/>
      <w:bookmarkEnd w:id="30"/>
      <w:r w:rsidRPr="00BE2000">
        <w:t>1.7 Justification of the Research</w:t>
      </w:r>
      <w:bookmarkEnd w:id="31"/>
      <w:r w:rsidRPr="00BE2000">
        <w:t xml:space="preserve"> </w:t>
      </w:r>
    </w:p>
    <w:p w14:paraId="264D71D4" w14:textId="595320EA"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Enhancing urban safety, encouraging sustainable development, and safeguarding vulnerable populations all depend on an understanding of the effects of fire hazards in urban settings like that of Harare. This research provides insightful information that can impact academic research, community involvement, urban planning, and policymaking. The importance of this research can be explained </w:t>
      </w:r>
      <w:r w:rsidR="002B358B" w:rsidRPr="00BE2000">
        <w:rPr>
          <w:rFonts w:eastAsia="Calibri"/>
          <w:color w:val="000000" w:themeColor="text1"/>
        </w:rPr>
        <w:t>using</w:t>
      </w:r>
      <w:r w:rsidRPr="00BE2000">
        <w:rPr>
          <w:rFonts w:eastAsia="Calibri"/>
          <w:color w:val="000000" w:themeColor="text1"/>
        </w:rPr>
        <w:t xml:space="preserve"> the following concepts:</w:t>
      </w:r>
    </w:p>
    <w:p w14:paraId="041489B1" w14:textId="77777777" w:rsidR="006E5540" w:rsidRPr="00BE2000" w:rsidRDefault="006E5540" w:rsidP="002B358B">
      <w:pPr>
        <w:pStyle w:val="Heading3"/>
        <w:jc w:val="both"/>
        <w:rPr>
          <w:rFonts w:eastAsia="Times New Roman"/>
          <w:lang w:val="en-ZW"/>
        </w:rPr>
      </w:pPr>
      <w:bookmarkStart w:id="32" w:name="_Toc215652863"/>
      <w:r w:rsidRPr="00BE2000">
        <w:rPr>
          <w:rFonts w:eastAsia="Times New Roman"/>
          <w:lang w:val="en-ZW"/>
        </w:rPr>
        <w:t>1.7.1 Informing Policy and Regulatory Frameworks</w:t>
      </w:r>
      <w:bookmarkEnd w:id="32"/>
    </w:p>
    <w:p w14:paraId="22F2FD35" w14:textId="77777777"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This research will offer fact-based perspectives on the reasons behind, effects of, and weaknesses in Harare's current fire safety laws. Stricter enforcement of safety regulations is necessary, as evidenced by the recurrent fires in areas such as Mbare and Glen View, which have been made worse by unauthorised electrical connections and substandard construction materials (Harare Fire Brigade, 2024). Policymakers can use these findings to formulate targeted regulations, improve compliance systems, and effectively allocate funds for fire response and prevention. Formalising informal settlements with fire-resistant materials and establishing explicit building bylaws are two examples of such policies. </w:t>
      </w:r>
    </w:p>
    <w:p w14:paraId="5EE88CAE" w14:textId="77777777" w:rsidR="006E5540" w:rsidRPr="00BE2000" w:rsidRDefault="006E5540" w:rsidP="002B358B">
      <w:pPr>
        <w:pStyle w:val="Heading3"/>
        <w:jc w:val="both"/>
        <w:rPr>
          <w:rFonts w:eastAsia="Times New Roman"/>
          <w:lang w:val="en-ZW"/>
        </w:rPr>
      </w:pPr>
      <w:bookmarkStart w:id="33" w:name="_Toc215652864"/>
      <w:r w:rsidRPr="00BE2000">
        <w:rPr>
          <w:rFonts w:eastAsia="Times New Roman"/>
          <w:lang w:val="en-ZW"/>
        </w:rPr>
        <w:t>1.7.2 Enhancing Urban Planning and Infrastructure Development</w:t>
      </w:r>
      <w:bookmarkEnd w:id="33"/>
    </w:p>
    <w:p w14:paraId="1A69D26B" w14:textId="77777777"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The research emphasises how poor infrastructure increases the risk of fire. Firefighting efforts during the 2024 Mbare fire, which destroyed Mbare Musika market, were hampered by narrow access roads and no water supply in fire hydrants (Harare Fire Brigade 2024). By incorporating fire risk assessments into city development plans, urban planners can lessen the vulnerability of </w:t>
      </w:r>
      <w:r w:rsidRPr="00BE2000">
        <w:rPr>
          <w:rFonts w:eastAsia="Calibri"/>
          <w:color w:val="000000" w:themeColor="text1"/>
        </w:rPr>
        <w:lastRenderedPageBreak/>
        <w:t>residents to fire outbreaks by formalising settlement layouts, constructing firebreaks, and widening roads (Bacciu et al., 2022).</w:t>
      </w:r>
    </w:p>
    <w:p w14:paraId="68BA193A" w14:textId="77777777" w:rsidR="006E5540" w:rsidRPr="00BE2000" w:rsidRDefault="006E5540" w:rsidP="002B358B">
      <w:pPr>
        <w:pStyle w:val="Heading3"/>
        <w:jc w:val="both"/>
        <w:rPr>
          <w:rFonts w:eastAsia="Times New Roman"/>
          <w:lang w:val="en-ZW"/>
        </w:rPr>
      </w:pPr>
      <w:bookmarkStart w:id="34" w:name="_Toc215652865"/>
      <w:r w:rsidRPr="00BE2000">
        <w:rPr>
          <w:rFonts w:eastAsia="Times New Roman"/>
          <w:lang w:val="en-ZW"/>
        </w:rPr>
        <w:t>1.7.3 Promoting Community Awareness and Engagement</w:t>
      </w:r>
      <w:bookmarkEnd w:id="34"/>
    </w:p>
    <w:p w14:paraId="4666B56A" w14:textId="3D3B1D9A"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Human activities like cooking over open fires or arson, which are frequently caused by a lack of knowledge about fire safety procedures, are the primary cause of many fires in urban areas (Amasi, 2021). For example, residents of Mbare Magaba reported not knowing how to respond effectively during the 2024 fire, which resulted in a higher structural loss (Harare Fire Brigade 2024). Focused awareness campaigns and educational initiatives can enhance the value of community-based fire safety education. To prevent fires and provide early warning, empowered communities can significantly lower the number of fatalities and property damage</w:t>
      </w:r>
      <w:r w:rsidR="00782F26" w:rsidRPr="00BE2000">
        <w:rPr>
          <w:rFonts w:eastAsia="Calibri"/>
          <w:color w:val="000000" w:themeColor="text1"/>
        </w:rPr>
        <w:t xml:space="preserve"> </w:t>
      </w:r>
      <w:bookmarkStart w:id="35" w:name="_Hlk213008154"/>
      <w:r w:rsidR="00782F26" w:rsidRPr="00BE2000">
        <w:rPr>
          <w:rFonts w:eastAsia="Calibri"/>
          <w:color w:val="000000" w:themeColor="text1"/>
        </w:rPr>
        <w:t>(Agyemang et al., 2020)</w:t>
      </w:r>
      <w:r w:rsidRPr="00BE2000">
        <w:rPr>
          <w:rFonts w:eastAsia="Calibri"/>
          <w:color w:val="000000" w:themeColor="text1"/>
        </w:rPr>
        <w:t>.</w:t>
      </w:r>
      <w:r w:rsidR="00782F26" w:rsidRPr="00BE2000">
        <w:rPr>
          <w:rFonts w:eastAsia="Calibri"/>
          <w:color w:val="000000" w:themeColor="text1"/>
        </w:rPr>
        <w:t xml:space="preserve"> </w:t>
      </w:r>
      <w:bookmarkEnd w:id="35"/>
    </w:p>
    <w:p w14:paraId="6D4A7A33" w14:textId="77777777" w:rsidR="006E5540" w:rsidRPr="00BE2000" w:rsidRDefault="006E5540" w:rsidP="002B358B">
      <w:pPr>
        <w:pStyle w:val="Heading3"/>
        <w:jc w:val="both"/>
        <w:rPr>
          <w:rFonts w:eastAsia="Times New Roman"/>
          <w:lang w:val="en-ZW"/>
        </w:rPr>
      </w:pPr>
      <w:bookmarkStart w:id="36" w:name="_Toc215652866"/>
      <w:r w:rsidRPr="00BE2000">
        <w:rPr>
          <w:rFonts w:eastAsia="Times New Roman"/>
          <w:lang w:val="en-ZW"/>
        </w:rPr>
        <w:t>1.7.4 Contributing to Academic and Practical Knowledge</w:t>
      </w:r>
      <w:bookmarkEnd w:id="36"/>
    </w:p>
    <w:p w14:paraId="5D3ED66F" w14:textId="22081234"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Even though urban fires in Harare occur frequently, little systematic research has been done to examine their causes, effects, and local mitigation techniques. This research fills this knowledge gap by offering comprehensive, context-specific data that can be used as a guide for upcoming investigations and comparative analyses in other African cities dealing with comparable issues. NGOs and local government agencies involved in managing urban hazards can also benefit from the useful information it provides.</w:t>
      </w:r>
    </w:p>
    <w:p w14:paraId="4EB54D58" w14:textId="77777777" w:rsidR="006E5540" w:rsidRPr="00BE2000" w:rsidRDefault="006E5540" w:rsidP="002B358B">
      <w:pPr>
        <w:pStyle w:val="Heading3"/>
        <w:jc w:val="both"/>
        <w:rPr>
          <w:rFonts w:eastAsia="Times New Roman"/>
          <w:lang w:val="en-ZW"/>
        </w:rPr>
      </w:pPr>
      <w:bookmarkStart w:id="37" w:name="_Toc215652867"/>
      <w:r w:rsidRPr="00BE2000">
        <w:rPr>
          <w:rFonts w:eastAsia="Times New Roman"/>
          <w:lang w:val="en-ZW"/>
        </w:rPr>
        <w:t>1.7.5 Supporting Sustainable Urban Development</w:t>
      </w:r>
      <w:bookmarkEnd w:id="37"/>
    </w:p>
    <w:p w14:paraId="1C650DD3" w14:textId="777587C1"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Urban fires threaten the sustainability of urban growth, particularly in informal settlements where recovery is slow and reconstruction costs are high. For instance, </w:t>
      </w:r>
      <w:r w:rsidR="0053581E" w:rsidRPr="00BE2000">
        <w:rPr>
          <w:rFonts w:eastAsia="Calibri"/>
          <w:color w:val="000000" w:themeColor="text1"/>
        </w:rPr>
        <w:t xml:space="preserve">scores of </w:t>
      </w:r>
      <w:r w:rsidRPr="00BE2000">
        <w:rPr>
          <w:rFonts w:eastAsia="Calibri"/>
          <w:color w:val="000000" w:themeColor="text1"/>
        </w:rPr>
        <w:t xml:space="preserve">traders were </w:t>
      </w:r>
      <w:r w:rsidR="0053581E" w:rsidRPr="00BE2000">
        <w:rPr>
          <w:rFonts w:eastAsia="Calibri"/>
          <w:color w:val="000000" w:themeColor="text1"/>
        </w:rPr>
        <w:t xml:space="preserve">recently </w:t>
      </w:r>
      <w:r w:rsidRPr="00BE2000">
        <w:rPr>
          <w:rFonts w:eastAsia="Calibri"/>
          <w:color w:val="000000" w:themeColor="text1"/>
        </w:rPr>
        <w:t xml:space="preserve">affected by the Glen View Area 8 fire in </w:t>
      </w:r>
      <w:r w:rsidR="0053581E" w:rsidRPr="00BE2000">
        <w:rPr>
          <w:rFonts w:eastAsia="Calibri"/>
          <w:color w:val="000000" w:themeColor="text1"/>
        </w:rPr>
        <w:t xml:space="preserve">July </w:t>
      </w:r>
      <w:r w:rsidRPr="00BE2000">
        <w:rPr>
          <w:rFonts w:eastAsia="Calibri"/>
          <w:color w:val="000000" w:themeColor="text1"/>
        </w:rPr>
        <w:t>202</w:t>
      </w:r>
      <w:r w:rsidR="0053581E" w:rsidRPr="00BE2000">
        <w:rPr>
          <w:rFonts w:eastAsia="Calibri"/>
          <w:color w:val="000000" w:themeColor="text1"/>
        </w:rPr>
        <w:t>5</w:t>
      </w:r>
      <w:r w:rsidRPr="00BE2000">
        <w:rPr>
          <w:rFonts w:eastAsia="Calibri"/>
          <w:color w:val="000000" w:themeColor="text1"/>
        </w:rPr>
        <w:t>, and many of them experienced long-term financial difficulties (</w:t>
      </w:r>
      <w:r w:rsidR="0053581E" w:rsidRPr="00BE2000">
        <w:rPr>
          <w:rFonts w:eastAsia="Calibri"/>
          <w:color w:val="000000" w:themeColor="text1"/>
        </w:rPr>
        <w:t>Zhakata, 2025</w:t>
      </w:r>
      <w:r w:rsidRPr="00BE2000">
        <w:rPr>
          <w:rFonts w:eastAsia="Calibri"/>
          <w:color w:val="000000" w:themeColor="text1"/>
        </w:rPr>
        <w:t>). Reducing the risk of fire is consistent with more general sustainable development objectives, like creating resilient infrastructure (Goal 9) and creating inclusive, secure, resilient, and sustainable cities (Goal 11)</w:t>
      </w:r>
      <w:r w:rsidR="0053581E" w:rsidRPr="00BE2000">
        <w:rPr>
          <w:rFonts w:eastAsia="Calibri"/>
          <w:color w:val="000000" w:themeColor="text1"/>
        </w:rPr>
        <w:t xml:space="preserve"> (Agyemang et al., 2020)</w:t>
      </w:r>
      <w:r w:rsidRPr="00BE2000">
        <w:rPr>
          <w:rFonts w:eastAsia="Calibri"/>
          <w:color w:val="000000" w:themeColor="text1"/>
        </w:rPr>
        <w:t>. This research promotes integrated strategies that strike a balance between safety precautions and urban development.</w:t>
      </w:r>
    </w:p>
    <w:p w14:paraId="6BD01DDC" w14:textId="77777777" w:rsidR="006E5540" w:rsidRPr="00BE2000" w:rsidRDefault="006E5540" w:rsidP="002B358B">
      <w:pPr>
        <w:pStyle w:val="Heading3"/>
        <w:jc w:val="both"/>
        <w:rPr>
          <w:rFonts w:eastAsia="Times New Roman"/>
          <w:lang w:val="en-ZW"/>
        </w:rPr>
      </w:pPr>
      <w:bookmarkStart w:id="38" w:name="_Toc215652868"/>
      <w:r w:rsidRPr="00BE2000">
        <w:rPr>
          <w:rFonts w:eastAsia="Times New Roman"/>
          <w:lang w:val="en-ZW"/>
        </w:rPr>
        <w:t>1.7.6 Guiding Future Research and Interventions</w:t>
      </w:r>
      <w:bookmarkEnd w:id="38"/>
    </w:p>
    <w:p w14:paraId="2A166255" w14:textId="650DDCF4"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This research will help prioritise areas for intervention, like community training or electrical safety upgrades, and guide future research on urban </w:t>
      </w:r>
      <w:r w:rsidR="00E30863">
        <w:rPr>
          <w:rFonts w:eastAsia="Calibri"/>
          <w:color w:val="000000" w:themeColor="text1"/>
        </w:rPr>
        <w:t>fire</w:t>
      </w:r>
      <w:r w:rsidRPr="00BE2000">
        <w:rPr>
          <w:rFonts w:eastAsia="Calibri"/>
          <w:color w:val="000000" w:themeColor="text1"/>
        </w:rPr>
        <w:t xml:space="preserve"> hazard management by identifying important causes and impacts. To ensure long-term urban resilience, the findings may help design affordable </w:t>
      </w:r>
      <w:r w:rsidRPr="00BE2000">
        <w:rPr>
          <w:rFonts w:eastAsia="Calibri"/>
          <w:color w:val="000000" w:themeColor="text1"/>
        </w:rPr>
        <w:lastRenderedPageBreak/>
        <w:t>fire mitigation techniques appropriate for environments with limited resources (Alayan, 2024). The increasing frequency of urban fires in Harare underscores the pressing need for a comprehensive analysis of their causes, effects, and mitigation strategies. Promoting resilient urban development and protecting vulnerable populations from preventable hazards require this kind of research.</w:t>
      </w:r>
    </w:p>
    <w:p w14:paraId="6D7705A3" w14:textId="7EF8049D" w:rsidR="006E5540" w:rsidRPr="00BE2000" w:rsidRDefault="006E5540" w:rsidP="00394501">
      <w:pPr>
        <w:pStyle w:val="Heading2"/>
      </w:pPr>
      <w:bookmarkStart w:id="39" w:name="_Toc215652872"/>
      <w:r w:rsidRPr="00BE2000">
        <w:t>1.</w:t>
      </w:r>
      <w:r w:rsidR="005F746F">
        <w:t>8</w:t>
      </w:r>
      <w:r w:rsidRPr="00BE2000">
        <w:t xml:space="preserve"> Assumptions</w:t>
      </w:r>
      <w:bookmarkEnd w:id="39"/>
    </w:p>
    <w:p w14:paraId="0A2021A4" w14:textId="77777777"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The research process is guided by a number of fundamental assumptions, which also influence the methodology and interpretation of the results. Among these presumptions are</w:t>
      </w:r>
    </w:p>
    <w:p w14:paraId="0DB73645" w14:textId="77777777"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Availability and Accuracy of Data: It is assumed that relevant data on fire incidents, damages, and mitigation efforts in Harare are accessible, accurate, and sufficiently detailed to support comprehensive analysis.</w:t>
      </w:r>
    </w:p>
    <w:p w14:paraId="48A9B68E" w14:textId="4F4D207B"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Representativeness of the Case Research: The research assumes that Harare's urban environment, fire hazards, and related factors are representative of similar urban contexts within Zimbabwe or comparable developing cities, allowing for meaningful insights and potential generalizations.</w:t>
      </w:r>
    </w:p>
    <w:p w14:paraId="31CD35FC" w14:textId="77777777"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Participant Honesty and Reliability: It is assumed that respondents (such as residents, fire service personnel, and officials) provide honest, accurate, and unbiased information during surveys, interviews, and focus group discussions.</w:t>
      </w:r>
    </w:p>
    <w:p w14:paraId="289CDA91" w14:textId="77777777"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Consistency in Fire Hazard Factors: The research presumes that the key factors contributing to fire hazards in Harare (for example, urban planning, infrastructure, socio-economic conditions) are consistent over the timeframe studied, enabling valid assessment of their impacts.</w:t>
      </w:r>
    </w:p>
    <w:p w14:paraId="2479B43C" w14:textId="77777777"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Effectiveness of Selected Methodologies: It is assumed that the chosen research methods (quantitative surveys, qualitative interviews, document analysis) are appropriate and sufficient to capture the complexity of fire hazards and their impacts in the urban setting.</w:t>
      </w:r>
    </w:p>
    <w:p w14:paraId="6C04272E" w14:textId="77777777" w:rsidR="006E5540" w:rsidRPr="00BE2000" w:rsidRDefault="006E5540">
      <w:pPr>
        <w:numPr>
          <w:ilvl w:val="0"/>
          <w:numId w:val="2"/>
        </w:numPr>
        <w:spacing w:line="360" w:lineRule="auto"/>
        <w:jc w:val="both"/>
        <w:rPr>
          <w:rFonts w:eastAsia="Calibri"/>
          <w:color w:val="000000" w:themeColor="text1"/>
        </w:rPr>
      </w:pPr>
      <w:r w:rsidRPr="00BE2000">
        <w:rPr>
          <w:rFonts w:eastAsia="Calibri"/>
          <w:color w:val="000000" w:themeColor="text1"/>
        </w:rPr>
        <w:t>Stakeholder Engagement: The research presumes that relevant stakeholders, including municipal authorities, fire services, and community members, are willing to participate and cooperate in the research process.</w:t>
      </w:r>
    </w:p>
    <w:p w14:paraId="0E77587A" w14:textId="701ED13F" w:rsidR="006E5540" w:rsidRPr="00BE2000" w:rsidRDefault="006E5540" w:rsidP="005F746F">
      <w:pPr>
        <w:spacing w:line="360" w:lineRule="auto"/>
        <w:jc w:val="both"/>
        <w:rPr>
          <w:rFonts w:eastAsia="Calibri"/>
          <w:color w:val="000000" w:themeColor="text1"/>
        </w:rPr>
      </w:pPr>
      <w:r w:rsidRPr="00BE2000">
        <w:rPr>
          <w:rFonts w:eastAsia="Calibri"/>
          <w:color w:val="000000" w:themeColor="text1"/>
        </w:rPr>
        <w:t xml:space="preserve">These assumptions serve as the foundation for the research design, data gathering, and analysis, enabling a targeted and cogent examination of the effects of fire hazards in Harare city. </w:t>
      </w:r>
      <w:r w:rsidRPr="00BE2000">
        <w:rPr>
          <w:rFonts w:eastAsia="Calibri"/>
          <w:color w:val="000000" w:themeColor="text1"/>
        </w:rPr>
        <w:lastRenderedPageBreak/>
        <w:t xml:space="preserve">Understanding the extent and constraints of the research's findings requires an awareness of these assumptions. </w:t>
      </w:r>
    </w:p>
    <w:p w14:paraId="138A07BB" w14:textId="298A56B4" w:rsidR="006E5540" w:rsidRPr="00BE2000" w:rsidRDefault="006E5540" w:rsidP="00394501">
      <w:pPr>
        <w:pStyle w:val="Heading2"/>
      </w:pPr>
      <w:bookmarkStart w:id="40" w:name="_Toc215652874"/>
      <w:r w:rsidRPr="00BE2000">
        <w:t>1.1</w:t>
      </w:r>
      <w:r w:rsidR="005F746F">
        <w:t>0</w:t>
      </w:r>
      <w:r w:rsidRPr="00BE2000">
        <w:t xml:space="preserve"> Delimitations</w:t>
      </w:r>
      <w:bookmarkEnd w:id="40"/>
    </w:p>
    <w:p w14:paraId="31574862" w14:textId="77777777"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This research observes the following boundaries:</w:t>
      </w:r>
    </w:p>
    <w:p w14:paraId="62CB46A5" w14:textId="1881FC56"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 The research is limited to Harare city, focusing on selected neighbourhoods within the district. It does not encompass rural areas or other cities, which may have different fire hazard dynamics.</w:t>
      </w:r>
      <w:r w:rsidR="005F746F">
        <w:rPr>
          <w:rFonts w:eastAsia="Calibri"/>
          <w:color w:val="000000" w:themeColor="text1"/>
        </w:rPr>
        <w:t xml:space="preserve"> </w:t>
      </w:r>
      <w:r w:rsidRPr="00BE2000">
        <w:rPr>
          <w:rFonts w:eastAsia="Calibri"/>
          <w:color w:val="000000" w:themeColor="text1"/>
        </w:rPr>
        <w:t>The research concentrates on fire incidents and impacts within a specific period from 2015 to 2024. This temporal delimitation helps in analysing recent trends but excludes longer-term historical data.</w:t>
      </w:r>
      <w:r w:rsidR="005F746F">
        <w:rPr>
          <w:rFonts w:eastAsia="Calibri"/>
          <w:color w:val="000000" w:themeColor="text1"/>
        </w:rPr>
        <w:t xml:space="preserve"> </w:t>
      </w:r>
      <w:r w:rsidRPr="00BE2000">
        <w:rPr>
          <w:rFonts w:eastAsia="Calibri"/>
          <w:color w:val="000000" w:themeColor="text1"/>
        </w:rPr>
        <w:t xml:space="preserve">The research specifically examines fire hazards related to urban factors such as </w:t>
      </w:r>
      <w:r w:rsidR="00BE2000" w:rsidRPr="00BE2000">
        <w:rPr>
          <w:color w:val="000000"/>
          <w:sz w:val="22"/>
          <w:szCs w:val="22"/>
        </w:rPr>
        <w:t>residential areas, marketplaces, industrial facilities, commercial spaces, urban-rural interface landscapes, dumpsites, and home industries</w:t>
      </w:r>
      <w:r w:rsidRPr="00BE2000">
        <w:rPr>
          <w:rFonts w:eastAsia="Calibri"/>
          <w:color w:val="000000" w:themeColor="text1"/>
        </w:rPr>
        <w:t>, infrastructure inadequacies, and urban planning challenges, excluding rural or agricultural fire risks. The research primarily investigates socio-economic impacts, property damage, and community disruptions caused by fire hazards, rather than biological or environmental impacts like air pollution or ecological damage.</w:t>
      </w:r>
      <w:r w:rsidR="005F746F">
        <w:rPr>
          <w:rFonts w:eastAsia="Calibri"/>
          <w:color w:val="000000" w:themeColor="text1"/>
        </w:rPr>
        <w:t xml:space="preserve"> </w:t>
      </w:r>
      <w:r w:rsidRPr="00BE2000">
        <w:rPr>
          <w:rFonts w:eastAsia="Calibri"/>
          <w:color w:val="000000" w:themeColor="text1"/>
        </w:rPr>
        <w:t>The research focuses on data collected from selected stakeholders, including residents, fire service personnel, and municipal officials. It does not include all possible stakeholders or exhaustive data sources.</w:t>
      </w:r>
      <w:r w:rsidR="005F746F">
        <w:rPr>
          <w:rFonts w:eastAsia="Calibri"/>
          <w:color w:val="000000" w:themeColor="text1"/>
        </w:rPr>
        <w:t xml:space="preserve"> </w:t>
      </w:r>
      <w:r w:rsidRPr="00BE2000">
        <w:rPr>
          <w:rFonts w:eastAsia="Calibri"/>
          <w:color w:val="000000" w:themeColor="text1"/>
        </w:rPr>
        <w:t>The research employs mixed methods approach which utilises strategies such as surveys, interviews, and document analysis, but does not extend to experimental or large-scale statistical modelling due to resource constraints.</w:t>
      </w:r>
      <w:r w:rsidR="005F746F">
        <w:rPr>
          <w:rFonts w:eastAsia="Calibri"/>
          <w:color w:val="000000" w:themeColor="text1"/>
        </w:rPr>
        <w:t xml:space="preserve"> </w:t>
      </w:r>
      <w:r w:rsidRPr="00BE2000">
        <w:rPr>
          <w:rFonts w:eastAsia="Calibri"/>
          <w:color w:val="000000" w:themeColor="text1"/>
        </w:rPr>
        <w:t xml:space="preserve">By defining the research's precise focus, these delimitations help keep it relevant and manageable. They also offer a clear framework for the research by elucidating the contextual parameters that apply to the findings and conclusions. </w:t>
      </w:r>
    </w:p>
    <w:p w14:paraId="2B620D05" w14:textId="77777777" w:rsidR="006E5540" w:rsidRPr="00BE2000" w:rsidRDefault="006E5540" w:rsidP="00394501">
      <w:pPr>
        <w:pStyle w:val="Heading2"/>
      </w:pPr>
      <w:bookmarkStart w:id="41" w:name="_Toc215652875"/>
      <w:r w:rsidRPr="00BE2000">
        <w:t>1.12 Definition of Terms</w:t>
      </w:r>
      <w:bookmarkEnd w:id="41"/>
    </w:p>
    <w:p w14:paraId="6B9A53ED" w14:textId="77777777"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Key terms associated with the research topic are defined as follows to guarantee readers' clarity and comprehension:</w:t>
      </w:r>
    </w:p>
    <w:p w14:paraId="1A92A682"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Fire Hazards: Conditions or situations that increase the likelihood of fire outbreaks or the severity of fire impacts in urban areas. This includes factors such as flammable materials, poor urban planning, and inadequate fire safety measures.</w:t>
      </w:r>
    </w:p>
    <w:p w14:paraId="070A8300"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Urban Areas: Densely populated regions characterized by human-made environments, infrastructure, residential, commercial, informal markets, and industrial zones within a city or town. In this context, Harare city is the specific urban area under research.</w:t>
      </w:r>
    </w:p>
    <w:p w14:paraId="39504C33"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lastRenderedPageBreak/>
        <w:t>Impact: The effects or consequences resulting from fire hazards, which may include loss of life, property damage, economic disruption, environmental degradation, and social dislocation.</w:t>
      </w:r>
    </w:p>
    <w:p w14:paraId="58881904"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Assessment: A systematic process of collecting, analysing, and evaluating data to understand the extent and nature of fire hazards and their impacts on the urban community.</w:t>
      </w:r>
    </w:p>
    <w:p w14:paraId="78349C25"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Mitigation Measures: Strategies, policies, or actions implemented to prevent fire outbreaks or reduce their adverse effects, such as fire safety regulations, public awareness campaigns, and emergency response planning.</w:t>
      </w:r>
    </w:p>
    <w:p w14:paraId="155734A6"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Fire Risk: The probability or chance of a fire occurring and causing damage within a specific area or community, considering both the likelihood of occurrence and potential severity.</w:t>
      </w:r>
    </w:p>
    <w:p w14:paraId="4D8B8BDC" w14:textId="77777777"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Socio-economic Impacts: The effects of fire hazards on the social and economic well-being of individuals and communities, including displacement, loss of livelihoods, and increased poverty levels.</w:t>
      </w:r>
    </w:p>
    <w:p w14:paraId="7D8162AA" w14:textId="4CC978F0" w:rsidR="006E5540" w:rsidRPr="00BE2000" w:rsidRDefault="006E5540">
      <w:pPr>
        <w:numPr>
          <w:ilvl w:val="0"/>
          <w:numId w:val="3"/>
        </w:numPr>
        <w:spacing w:line="360" w:lineRule="auto"/>
        <w:jc w:val="both"/>
        <w:rPr>
          <w:rFonts w:eastAsia="Calibri"/>
          <w:color w:val="000000" w:themeColor="text1"/>
        </w:rPr>
      </w:pPr>
      <w:r w:rsidRPr="00BE2000">
        <w:rPr>
          <w:rFonts w:eastAsia="Calibri"/>
          <w:color w:val="000000" w:themeColor="text1"/>
        </w:rPr>
        <w:t xml:space="preserve">Research: An in-depth investigation of a single subject or area in this </w:t>
      </w:r>
      <w:r w:rsidR="00A5149F" w:rsidRPr="00BE2000">
        <w:rPr>
          <w:rFonts w:eastAsia="Calibri"/>
          <w:color w:val="000000" w:themeColor="text1"/>
        </w:rPr>
        <w:t>case, Harare</w:t>
      </w:r>
      <w:r w:rsidRPr="00BE2000">
        <w:rPr>
          <w:rFonts w:eastAsia="Calibri"/>
          <w:color w:val="000000" w:themeColor="text1"/>
        </w:rPr>
        <w:t xml:space="preserve"> city to explore specific issues related to fire hazards and their impacts in detail.</w:t>
      </w:r>
    </w:p>
    <w:p w14:paraId="67B31B9A" w14:textId="77777777" w:rsidR="006E5540" w:rsidRDefault="006E5540" w:rsidP="002B358B">
      <w:pPr>
        <w:spacing w:line="360" w:lineRule="auto"/>
        <w:jc w:val="both"/>
        <w:rPr>
          <w:rFonts w:eastAsia="Calibri"/>
          <w:color w:val="000000" w:themeColor="text1"/>
        </w:rPr>
      </w:pPr>
      <w:r w:rsidRPr="00BE2000">
        <w:rPr>
          <w:rFonts w:eastAsia="Calibri"/>
          <w:color w:val="000000" w:themeColor="text1"/>
        </w:rPr>
        <w:t xml:space="preserve">These definitions guarantee that readers will understand the terms used consistently throughout the research by giving them a clear understanding of the main concepts. </w:t>
      </w:r>
    </w:p>
    <w:p w14:paraId="04E84CB1" w14:textId="77777777" w:rsidR="00777CA7" w:rsidRPr="00BE2000" w:rsidRDefault="00777CA7" w:rsidP="002B358B">
      <w:pPr>
        <w:spacing w:line="360" w:lineRule="auto"/>
        <w:jc w:val="both"/>
        <w:rPr>
          <w:rFonts w:eastAsia="Calibri"/>
          <w:color w:val="000000" w:themeColor="text1"/>
        </w:rPr>
      </w:pPr>
    </w:p>
    <w:p w14:paraId="5D36C8EC" w14:textId="52FBD409" w:rsidR="006E5540" w:rsidRPr="00BE2000" w:rsidRDefault="006B628C" w:rsidP="00394501">
      <w:pPr>
        <w:pStyle w:val="Heading2"/>
      </w:pPr>
      <w:bookmarkStart w:id="42" w:name="_Toc215652876"/>
      <w:r>
        <w:t>1.13</w:t>
      </w:r>
      <w:r w:rsidR="006E5540" w:rsidRPr="00BE2000">
        <w:t xml:space="preserve"> Summary</w:t>
      </w:r>
      <w:bookmarkEnd w:id="42"/>
    </w:p>
    <w:p w14:paraId="19C6E7BE" w14:textId="3413479A" w:rsidR="006E5540" w:rsidRPr="00BE2000" w:rsidRDefault="006E5540" w:rsidP="002B358B">
      <w:pPr>
        <w:spacing w:line="360" w:lineRule="auto"/>
        <w:jc w:val="both"/>
        <w:rPr>
          <w:rFonts w:eastAsia="Calibri"/>
          <w:color w:val="000000" w:themeColor="text1"/>
        </w:rPr>
      </w:pPr>
      <w:r w:rsidRPr="00BE2000">
        <w:rPr>
          <w:rFonts w:eastAsia="Calibri"/>
          <w:color w:val="000000" w:themeColor="text1"/>
        </w:rPr>
        <w:t xml:space="preserve">The urban environment's susceptibility to fire hazards has increased due to Harare City's rapid urbanisation and growing population density. Understanding the causes, effects, and mitigation techniques of these hazards is crucial because they represent serious risks to people's lives, property, and socioeconomic stability. This research intends to evaluate the scope and effects of fire incidents </w:t>
      </w:r>
      <w:r w:rsidR="00BE2000" w:rsidRPr="00BE2000">
        <w:rPr>
          <w:rFonts w:eastAsia="Calibri"/>
          <w:color w:val="000000" w:themeColor="text1"/>
        </w:rPr>
        <w:t>in Harare</w:t>
      </w:r>
      <w:r w:rsidRPr="00BE2000">
        <w:rPr>
          <w:rFonts w:eastAsia="Calibri"/>
          <w:color w:val="000000" w:themeColor="text1"/>
        </w:rPr>
        <w:t xml:space="preserve"> city by investigating elements like community awareness levels, urban planning difficulties, and infrastructure deficiencies. The research looks at the physical and socioeconomic harm that fires cause to offer insights that can guide efficient fire response and prevention strategies. In the end, the research highlights how crucial it is to create focused policies and improve emergency readiness in order to create safer, more resilient urban areas in Harare. This includes fostering partnerships among local authorities, community organisations, and residents to enhance communication and education regarding fire safety. By prioritising these </w:t>
      </w:r>
      <w:r w:rsidRPr="00BE2000">
        <w:rPr>
          <w:rFonts w:eastAsia="Calibri"/>
          <w:color w:val="000000" w:themeColor="text1"/>
        </w:rPr>
        <w:lastRenderedPageBreak/>
        <w:t>initiatives, Harare can significantly reduce the risks and impacts of fire incidents while promoting sustainable urban development.</w:t>
      </w:r>
    </w:p>
    <w:p w14:paraId="57C1EFBD" w14:textId="4DBA1D06" w:rsidR="006E5540" w:rsidRPr="00BE2000" w:rsidRDefault="006E5540" w:rsidP="002B358B">
      <w:pPr>
        <w:jc w:val="both"/>
        <w:rPr>
          <w:color w:val="000000" w:themeColor="text1"/>
        </w:rPr>
      </w:pPr>
    </w:p>
    <w:p w14:paraId="18265FB9" w14:textId="77777777" w:rsidR="006E5540" w:rsidRPr="00BE2000" w:rsidRDefault="006E5540" w:rsidP="002B358B">
      <w:pPr>
        <w:jc w:val="both"/>
        <w:rPr>
          <w:color w:val="000000" w:themeColor="text1"/>
        </w:rPr>
      </w:pPr>
    </w:p>
    <w:p w14:paraId="28A56A42" w14:textId="77777777" w:rsidR="006E5540" w:rsidRPr="00BE2000" w:rsidRDefault="006E5540" w:rsidP="002B358B">
      <w:pPr>
        <w:jc w:val="both"/>
        <w:rPr>
          <w:color w:val="000000" w:themeColor="text1"/>
        </w:rPr>
      </w:pPr>
    </w:p>
    <w:p w14:paraId="707F9387" w14:textId="77777777" w:rsidR="006E5540" w:rsidRPr="00BE2000" w:rsidRDefault="006E5540" w:rsidP="002B358B">
      <w:pPr>
        <w:jc w:val="both"/>
        <w:rPr>
          <w:color w:val="000000" w:themeColor="text1"/>
        </w:rPr>
      </w:pPr>
    </w:p>
    <w:p w14:paraId="14152E3A" w14:textId="77777777" w:rsidR="006E5540" w:rsidRPr="00BE2000" w:rsidRDefault="006E5540" w:rsidP="002B358B">
      <w:pPr>
        <w:jc w:val="both"/>
        <w:rPr>
          <w:color w:val="000000" w:themeColor="text1"/>
        </w:rPr>
      </w:pPr>
    </w:p>
    <w:p w14:paraId="57116D25" w14:textId="77777777" w:rsidR="006E5540" w:rsidRPr="00BE2000" w:rsidRDefault="006E5540" w:rsidP="002B358B">
      <w:pPr>
        <w:jc w:val="both"/>
        <w:rPr>
          <w:color w:val="000000" w:themeColor="text1"/>
        </w:rPr>
      </w:pPr>
    </w:p>
    <w:p w14:paraId="39A6B96C" w14:textId="77777777" w:rsidR="006E5540" w:rsidRPr="00BE2000" w:rsidRDefault="006E5540" w:rsidP="002B358B">
      <w:pPr>
        <w:jc w:val="both"/>
        <w:rPr>
          <w:color w:val="000000" w:themeColor="text1"/>
        </w:rPr>
      </w:pPr>
    </w:p>
    <w:p w14:paraId="2576D030" w14:textId="77777777" w:rsidR="006E5540" w:rsidRDefault="006E5540" w:rsidP="002B358B">
      <w:pPr>
        <w:jc w:val="both"/>
        <w:rPr>
          <w:color w:val="000000" w:themeColor="text1"/>
        </w:rPr>
      </w:pPr>
    </w:p>
    <w:p w14:paraId="4B60469E" w14:textId="77777777" w:rsidR="00DF6172" w:rsidRDefault="00DF6172" w:rsidP="002B358B">
      <w:pPr>
        <w:jc w:val="both"/>
        <w:rPr>
          <w:color w:val="000000" w:themeColor="text1"/>
        </w:rPr>
      </w:pPr>
    </w:p>
    <w:p w14:paraId="5F9B977A" w14:textId="77777777" w:rsidR="00DF6172" w:rsidRDefault="00DF6172" w:rsidP="002B358B">
      <w:pPr>
        <w:jc w:val="both"/>
        <w:rPr>
          <w:color w:val="000000" w:themeColor="text1"/>
        </w:rPr>
      </w:pPr>
    </w:p>
    <w:p w14:paraId="30181CC7" w14:textId="77777777" w:rsidR="00DF6172" w:rsidRDefault="00DF6172" w:rsidP="002B358B">
      <w:pPr>
        <w:jc w:val="both"/>
        <w:rPr>
          <w:color w:val="000000" w:themeColor="text1"/>
        </w:rPr>
      </w:pPr>
    </w:p>
    <w:p w14:paraId="433E5BD1" w14:textId="77777777" w:rsidR="00DF6172" w:rsidRDefault="00DF6172" w:rsidP="002B358B">
      <w:pPr>
        <w:jc w:val="both"/>
        <w:rPr>
          <w:color w:val="000000" w:themeColor="text1"/>
        </w:rPr>
      </w:pPr>
    </w:p>
    <w:p w14:paraId="41C50DFF" w14:textId="77777777" w:rsidR="00DF6172" w:rsidRDefault="00DF6172" w:rsidP="002B358B">
      <w:pPr>
        <w:jc w:val="both"/>
        <w:rPr>
          <w:color w:val="000000" w:themeColor="text1"/>
        </w:rPr>
      </w:pPr>
    </w:p>
    <w:p w14:paraId="63A98FFD" w14:textId="77777777" w:rsidR="00DF6172" w:rsidRDefault="00DF6172" w:rsidP="002B358B">
      <w:pPr>
        <w:jc w:val="both"/>
        <w:rPr>
          <w:color w:val="000000" w:themeColor="text1"/>
        </w:rPr>
      </w:pPr>
    </w:p>
    <w:p w14:paraId="2848D281" w14:textId="77777777" w:rsidR="00DF6172" w:rsidRDefault="00DF6172" w:rsidP="002B358B">
      <w:pPr>
        <w:jc w:val="both"/>
        <w:rPr>
          <w:color w:val="000000" w:themeColor="text1"/>
        </w:rPr>
      </w:pPr>
    </w:p>
    <w:p w14:paraId="4ECC6419" w14:textId="77777777" w:rsidR="00DF6172" w:rsidRDefault="00DF6172" w:rsidP="002B358B">
      <w:pPr>
        <w:jc w:val="both"/>
        <w:rPr>
          <w:color w:val="000000" w:themeColor="text1"/>
        </w:rPr>
      </w:pPr>
    </w:p>
    <w:p w14:paraId="4635B57E" w14:textId="77777777" w:rsidR="00DF6172" w:rsidRDefault="00DF6172" w:rsidP="002B358B">
      <w:pPr>
        <w:jc w:val="both"/>
        <w:rPr>
          <w:color w:val="000000" w:themeColor="text1"/>
        </w:rPr>
      </w:pPr>
    </w:p>
    <w:p w14:paraId="7F55CC64" w14:textId="77777777" w:rsidR="00DF6172" w:rsidRDefault="00DF6172" w:rsidP="002B358B">
      <w:pPr>
        <w:jc w:val="both"/>
        <w:rPr>
          <w:color w:val="000000" w:themeColor="text1"/>
        </w:rPr>
      </w:pPr>
    </w:p>
    <w:p w14:paraId="207C38DD" w14:textId="77777777" w:rsidR="00DF6172" w:rsidRDefault="00DF6172" w:rsidP="002B358B">
      <w:pPr>
        <w:jc w:val="both"/>
        <w:rPr>
          <w:color w:val="000000" w:themeColor="text1"/>
        </w:rPr>
      </w:pPr>
    </w:p>
    <w:p w14:paraId="49E82AA7" w14:textId="77777777" w:rsidR="00DF6172" w:rsidRDefault="00DF6172" w:rsidP="002B358B">
      <w:pPr>
        <w:jc w:val="both"/>
        <w:rPr>
          <w:color w:val="000000" w:themeColor="text1"/>
        </w:rPr>
      </w:pPr>
    </w:p>
    <w:p w14:paraId="5D92AE32" w14:textId="77777777" w:rsidR="00DF6172" w:rsidRDefault="00DF6172" w:rsidP="002B358B">
      <w:pPr>
        <w:jc w:val="both"/>
        <w:rPr>
          <w:color w:val="000000" w:themeColor="text1"/>
        </w:rPr>
      </w:pPr>
    </w:p>
    <w:p w14:paraId="0DD64EDF" w14:textId="77777777" w:rsidR="00DF6172" w:rsidRDefault="00DF6172" w:rsidP="002B358B">
      <w:pPr>
        <w:jc w:val="both"/>
        <w:rPr>
          <w:color w:val="000000" w:themeColor="text1"/>
        </w:rPr>
      </w:pPr>
    </w:p>
    <w:p w14:paraId="1AC04A7D" w14:textId="77777777" w:rsidR="00DF6172" w:rsidRDefault="00DF6172" w:rsidP="002B358B">
      <w:pPr>
        <w:jc w:val="both"/>
        <w:rPr>
          <w:color w:val="000000" w:themeColor="text1"/>
        </w:rPr>
      </w:pPr>
    </w:p>
    <w:p w14:paraId="507B0441" w14:textId="77777777" w:rsidR="00DF6172" w:rsidRDefault="00DF6172" w:rsidP="002B358B">
      <w:pPr>
        <w:jc w:val="both"/>
        <w:rPr>
          <w:color w:val="000000" w:themeColor="text1"/>
        </w:rPr>
      </w:pPr>
    </w:p>
    <w:p w14:paraId="4A613D29" w14:textId="77777777" w:rsidR="00DF6172" w:rsidRDefault="00DF6172" w:rsidP="002B358B">
      <w:pPr>
        <w:jc w:val="both"/>
        <w:rPr>
          <w:color w:val="000000" w:themeColor="text1"/>
        </w:rPr>
      </w:pPr>
    </w:p>
    <w:p w14:paraId="73BE04A4" w14:textId="77777777" w:rsidR="00DF6172" w:rsidRDefault="00DF6172" w:rsidP="002B358B">
      <w:pPr>
        <w:jc w:val="both"/>
        <w:rPr>
          <w:color w:val="000000" w:themeColor="text1"/>
        </w:rPr>
      </w:pPr>
    </w:p>
    <w:p w14:paraId="4535969C" w14:textId="77777777" w:rsidR="00DF6172" w:rsidRPr="00BE2000" w:rsidRDefault="00DF6172" w:rsidP="002B358B">
      <w:pPr>
        <w:jc w:val="both"/>
        <w:rPr>
          <w:color w:val="000000" w:themeColor="text1"/>
        </w:rPr>
      </w:pPr>
    </w:p>
    <w:p w14:paraId="3AEF3A95" w14:textId="77777777" w:rsidR="006E5540" w:rsidRPr="00BE2000" w:rsidRDefault="006E5540" w:rsidP="002B358B">
      <w:pPr>
        <w:jc w:val="both"/>
        <w:rPr>
          <w:color w:val="000000" w:themeColor="text1"/>
        </w:rPr>
      </w:pPr>
    </w:p>
    <w:p w14:paraId="559C2950" w14:textId="77777777" w:rsidR="006E5540" w:rsidRPr="00BE2000" w:rsidRDefault="006E5540" w:rsidP="002B358B">
      <w:pPr>
        <w:jc w:val="both"/>
        <w:rPr>
          <w:color w:val="000000" w:themeColor="text1"/>
        </w:rPr>
      </w:pPr>
    </w:p>
    <w:p w14:paraId="3DC028BC" w14:textId="77777777" w:rsidR="006E5540" w:rsidRPr="00BE2000" w:rsidRDefault="006E5540" w:rsidP="002B358B">
      <w:pPr>
        <w:jc w:val="both"/>
        <w:rPr>
          <w:color w:val="000000" w:themeColor="text1"/>
        </w:rPr>
      </w:pPr>
    </w:p>
    <w:p w14:paraId="40505161" w14:textId="77777777" w:rsidR="006E5540" w:rsidRDefault="006E5540" w:rsidP="002B358B">
      <w:pPr>
        <w:jc w:val="both"/>
        <w:rPr>
          <w:color w:val="000000" w:themeColor="text1"/>
        </w:rPr>
      </w:pPr>
    </w:p>
    <w:p w14:paraId="5B936B9E" w14:textId="77777777" w:rsidR="00777CA7" w:rsidRDefault="00777CA7" w:rsidP="002B358B">
      <w:pPr>
        <w:jc w:val="both"/>
        <w:rPr>
          <w:color w:val="000000" w:themeColor="text1"/>
        </w:rPr>
      </w:pPr>
    </w:p>
    <w:p w14:paraId="2F8B109A" w14:textId="77777777" w:rsidR="00777CA7" w:rsidRDefault="00777CA7" w:rsidP="002B358B">
      <w:pPr>
        <w:jc w:val="both"/>
        <w:rPr>
          <w:color w:val="000000" w:themeColor="text1"/>
        </w:rPr>
      </w:pPr>
    </w:p>
    <w:p w14:paraId="3B06BDF6" w14:textId="77777777" w:rsidR="00777CA7" w:rsidRDefault="00777CA7" w:rsidP="002B358B">
      <w:pPr>
        <w:jc w:val="both"/>
        <w:rPr>
          <w:color w:val="000000" w:themeColor="text1"/>
        </w:rPr>
      </w:pPr>
    </w:p>
    <w:p w14:paraId="2F72A1D6" w14:textId="77777777" w:rsidR="00777CA7" w:rsidRDefault="00777CA7" w:rsidP="002B358B">
      <w:pPr>
        <w:jc w:val="both"/>
        <w:rPr>
          <w:color w:val="000000" w:themeColor="text1"/>
        </w:rPr>
      </w:pPr>
    </w:p>
    <w:p w14:paraId="2442A42D" w14:textId="77777777" w:rsidR="00777CA7" w:rsidRDefault="00777CA7" w:rsidP="002B358B">
      <w:pPr>
        <w:jc w:val="both"/>
        <w:rPr>
          <w:color w:val="000000" w:themeColor="text1"/>
        </w:rPr>
      </w:pPr>
    </w:p>
    <w:p w14:paraId="5EB37B6E" w14:textId="77777777" w:rsidR="00777CA7" w:rsidRPr="00BE2000" w:rsidRDefault="00777CA7" w:rsidP="002B358B">
      <w:pPr>
        <w:jc w:val="both"/>
        <w:rPr>
          <w:color w:val="000000" w:themeColor="text1"/>
        </w:rPr>
      </w:pPr>
    </w:p>
    <w:p w14:paraId="4F9B68DC" w14:textId="77777777" w:rsidR="006E5540" w:rsidRPr="00BE2000" w:rsidRDefault="006E5540" w:rsidP="002B358B">
      <w:pPr>
        <w:jc w:val="both"/>
        <w:rPr>
          <w:color w:val="000000" w:themeColor="text1"/>
        </w:rPr>
      </w:pPr>
    </w:p>
    <w:p w14:paraId="53C5A8BF" w14:textId="77777777" w:rsidR="006E5540" w:rsidRPr="00BE2000" w:rsidRDefault="006E5540" w:rsidP="006C3EB9">
      <w:pPr>
        <w:pStyle w:val="Heading1"/>
      </w:pPr>
      <w:bookmarkStart w:id="43" w:name="_Toc215652877"/>
      <w:r w:rsidRPr="00BE2000">
        <w:lastRenderedPageBreak/>
        <w:t>CHAPTER 2</w:t>
      </w:r>
      <w:bookmarkEnd w:id="43"/>
    </w:p>
    <w:p w14:paraId="60E78EB6" w14:textId="77777777" w:rsidR="006E5540" w:rsidRPr="00BE2000" w:rsidRDefault="006E5540" w:rsidP="006C3EB9">
      <w:pPr>
        <w:pStyle w:val="Heading1"/>
      </w:pPr>
      <w:bookmarkStart w:id="44" w:name="_Toc215652878"/>
      <w:r w:rsidRPr="00BE2000">
        <w:t>Literature Review</w:t>
      </w:r>
      <w:bookmarkEnd w:id="44"/>
    </w:p>
    <w:p w14:paraId="2E5AC877" w14:textId="77777777" w:rsidR="006E5540" w:rsidRPr="00BE2000" w:rsidRDefault="006E5540" w:rsidP="002B358B">
      <w:pPr>
        <w:spacing w:line="360" w:lineRule="auto"/>
        <w:jc w:val="both"/>
        <w:rPr>
          <w:rFonts w:ascii="Calibri" w:eastAsia="Calibri" w:hAnsi="Calibri"/>
          <w:color w:val="000000" w:themeColor="text1"/>
          <w:sz w:val="22"/>
          <w:szCs w:val="22"/>
        </w:rPr>
      </w:pPr>
    </w:p>
    <w:p w14:paraId="6BC949BB" w14:textId="77777777" w:rsidR="006E5540" w:rsidRDefault="006E5540" w:rsidP="00777CA7">
      <w:pPr>
        <w:pStyle w:val="Heading2"/>
        <w:spacing w:line="240" w:lineRule="auto"/>
      </w:pPr>
      <w:bookmarkStart w:id="45" w:name="_Toc215652879"/>
      <w:r w:rsidRPr="00BE2000">
        <w:t>2.1 Introduction</w:t>
      </w:r>
      <w:bookmarkEnd w:id="45"/>
      <w:r w:rsidRPr="00BE2000">
        <w:t xml:space="preserve"> </w:t>
      </w:r>
    </w:p>
    <w:p w14:paraId="186214BF" w14:textId="659768F3" w:rsidR="005F746F" w:rsidRDefault="005F746F" w:rsidP="00DF6172">
      <w:pPr>
        <w:pStyle w:val="NormalWeb"/>
        <w:spacing w:line="360" w:lineRule="auto"/>
        <w:jc w:val="both"/>
      </w:pPr>
      <w:r>
        <w:t>This chapter reviews existing literature on urban fire hazards, with the aim of establishing a theoretical and empirical foundation for the study. The review focuses on key concepts, including the causes and determinants of urban fire risk, the socioeconomic and infrastructural impacts of fire incidents, and the effectiveness of fire prevention and response mechanisms. The chapter adopts a structured approach, beginning with a global perspective on urban fire risk, followed by insights from developing countries, and finally narrowing down to the Zimbabwean context. This progression enables a comprehensive understanding of how urban fire hazards manifest across different settings while highlighting context-specific dynamics relevant to Harare. In addition, the chapter examines relevant theories and frameworks that explain disaster risk, vulnerability, and urban resilience. Empirical studies are critically analysed to identify areas of consensus, methodological approaches, and key findings, as well as gaps in existing knowledge. The review ultimately provides a basis for the conceptual framework of the study and justifies the need for further investigation into the determinants, impacts, and management of urban fire risk in Harare city.</w:t>
      </w:r>
    </w:p>
    <w:p w14:paraId="02362DD0" w14:textId="77777777" w:rsidR="005F746F" w:rsidRPr="005F746F" w:rsidRDefault="005F746F" w:rsidP="005F746F">
      <w:pPr>
        <w:rPr>
          <w:lang w:val="en-GB"/>
        </w:rPr>
      </w:pPr>
    </w:p>
    <w:p w14:paraId="0AFC37A8" w14:textId="30C660EC" w:rsidR="005F746F" w:rsidRPr="005F746F" w:rsidRDefault="005F746F" w:rsidP="005F746F">
      <w:pPr>
        <w:rPr>
          <w:b/>
          <w:bCs/>
          <w:lang w:val="en-GB"/>
        </w:rPr>
      </w:pPr>
      <w:r w:rsidRPr="005F746F">
        <w:rPr>
          <w:b/>
          <w:bCs/>
          <w:lang w:val="en-GB"/>
        </w:rPr>
        <w:t xml:space="preserve">2.2 Overview of </w:t>
      </w:r>
      <w:r w:rsidRPr="005F746F">
        <w:rPr>
          <w:b/>
          <w:bCs/>
          <w:color w:val="000000" w:themeColor="text1"/>
        </w:rPr>
        <w:t xml:space="preserve"> impact of fire hazards in urban areas</w:t>
      </w:r>
    </w:p>
    <w:p w14:paraId="241E763C" w14:textId="77777777" w:rsidR="006E5540" w:rsidRPr="00BE2000" w:rsidRDefault="006E5540" w:rsidP="002B358B">
      <w:pPr>
        <w:spacing w:line="360" w:lineRule="auto"/>
        <w:jc w:val="both"/>
        <w:rPr>
          <w:rFonts w:eastAsia="Calibri"/>
          <w:color w:val="000000" w:themeColor="text1"/>
          <w:sz w:val="22"/>
          <w:szCs w:val="22"/>
        </w:rPr>
      </w:pPr>
      <w:r w:rsidRPr="00BE2000">
        <w:rPr>
          <w:rFonts w:eastAsia="Calibri"/>
          <w:color w:val="000000" w:themeColor="text1"/>
          <w:sz w:val="22"/>
          <w:szCs w:val="22"/>
        </w:rPr>
        <w:t>Disasters represent external shocks that interrupt and diminish the developmental progress of individuals, organizations, and economies</w:t>
      </w:r>
      <w:r w:rsidRPr="00BE2000">
        <w:rPr>
          <w:color w:val="000000" w:themeColor="text1"/>
        </w:rPr>
        <w:t xml:space="preserve"> (</w:t>
      </w:r>
      <w:r w:rsidRPr="00BE2000">
        <w:rPr>
          <w:rFonts w:eastAsia="Calibri"/>
          <w:color w:val="000000" w:themeColor="text1"/>
          <w:sz w:val="22"/>
          <w:szCs w:val="22"/>
        </w:rPr>
        <w:t>Arcaya et al., 2020). Disasters at the macro level affect development through physical damage to infrastructure and productive capital, leading to long-term implications for productivity and growth. Disasters generate chaos, interrupting seamless business operations and leading to losses in working capital, sales, assets, and profitability at a micro level. Fire disasters present considerable environmental and socioeconomic hazards to both developed and undeveloped areas.</w:t>
      </w:r>
    </w:p>
    <w:p w14:paraId="3FAA9378" w14:textId="4CAD983C" w:rsidR="006E5540" w:rsidRPr="00BE2000" w:rsidRDefault="006E5540" w:rsidP="002B358B">
      <w:pPr>
        <w:spacing w:line="360" w:lineRule="auto"/>
        <w:jc w:val="both"/>
        <w:rPr>
          <w:rFonts w:eastAsia="Calibri"/>
          <w:color w:val="000000" w:themeColor="text1"/>
          <w:sz w:val="22"/>
          <w:szCs w:val="22"/>
        </w:rPr>
      </w:pPr>
      <w:r w:rsidRPr="00BE2000">
        <w:rPr>
          <w:rFonts w:eastAsia="Calibri"/>
          <w:color w:val="000000" w:themeColor="text1"/>
          <w:sz w:val="22"/>
          <w:szCs w:val="22"/>
        </w:rPr>
        <w:t xml:space="preserve"> With more people and resources concentrated in cities, the world is seeing a sharp increase in urbanization. Given that the majority of present and future urban growth is occurring in the global south, it is more crucial than ever to comprehend the dynamics of urban fires (Randolph &amp; Storper, 2023). Urban fire hazards pose a major risk to human life, property, and the environment, particularly in densely populated urban areas where infrastructure and human activity coexist. This chapter concentrates on research on the consequences </w:t>
      </w:r>
      <w:r w:rsidRPr="00BE2000">
        <w:rPr>
          <w:rFonts w:eastAsia="Calibri"/>
          <w:color w:val="000000" w:themeColor="text1"/>
          <w:sz w:val="22"/>
          <w:szCs w:val="22"/>
        </w:rPr>
        <w:lastRenderedPageBreak/>
        <w:t xml:space="preserve">of fire hazards in urban </w:t>
      </w:r>
      <w:r w:rsidR="00E30863">
        <w:rPr>
          <w:rFonts w:eastAsia="Calibri"/>
          <w:color w:val="000000" w:themeColor="text1"/>
          <w:sz w:val="22"/>
          <w:szCs w:val="22"/>
        </w:rPr>
        <w:t>areas</w:t>
      </w:r>
      <w:r w:rsidRPr="00BE2000">
        <w:rPr>
          <w:rFonts w:eastAsia="Calibri"/>
          <w:color w:val="000000" w:themeColor="text1"/>
          <w:sz w:val="22"/>
          <w:szCs w:val="22"/>
        </w:rPr>
        <w:t>, where socioeconomic challenges, inadequate infrastructure, and a lack of fire safety measures have made fire hazards a pressing concern.  The potential effects of urban fires on lives, livelihoods, and vital infrastructure are increased by this growing exposure (UN Habitat, 2020). The likelihood that a fire event will impact a greater proportion of economic activity and vulnerable populations rises with urbanization, necessitating strong risk reduction and resilience strategies. Rising temperatures, shifting precipitation patterns, and more extreme weather are all consequences of climate change that affect the likelihood, spread, and behaviour of fires in different regions (Jones et al., 2022). Urban fire risk profiles are being reshaped by climate variability, urban heat island effects, and altered vegetation dynamics, which are causing changes in fire regimes even in areas that have historically been thought of as less fire-prone (Fan et al., 2022).</w:t>
      </w:r>
    </w:p>
    <w:p w14:paraId="0DE83ADD" w14:textId="77777777" w:rsidR="006E5540" w:rsidRPr="00BE2000" w:rsidRDefault="006E5540" w:rsidP="002B358B">
      <w:pPr>
        <w:spacing w:line="360" w:lineRule="auto"/>
        <w:jc w:val="both"/>
        <w:rPr>
          <w:rFonts w:eastAsia="Calibri"/>
          <w:color w:val="000000" w:themeColor="text1"/>
          <w:sz w:val="22"/>
          <w:szCs w:val="22"/>
        </w:rPr>
      </w:pPr>
      <w:r w:rsidRPr="00BE2000">
        <w:rPr>
          <w:rFonts w:eastAsia="Calibri"/>
          <w:color w:val="000000" w:themeColor="text1"/>
          <w:sz w:val="22"/>
          <w:szCs w:val="22"/>
        </w:rPr>
        <w:t>Planning based on resilience, looking at risk from many different hazards, and systems that link fire risk to other urban hazards are becoming more and more important in international practice (Rezvani et al., 2023). This change makes it possible to manage risks in a proactive way, which includes prevention, preparedness, and recovery from disasters, instead of just responding to emergencies. Global standards help with keeping cities safe from fires by measuring performance and managing risk. ISO 31000 on risk management and other fire safety standards help us find threats, figure out how vulnerable we are, and protect ourselves (ISO, 2023). Standards give general advice, but they still need to be changed to fit the needs of each city.</w:t>
      </w:r>
    </w:p>
    <w:p w14:paraId="2126E2B7"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Southern African cities face challenges related to rapid urbanization, informal settlements, inconsistent housing quality, and uneven access to utilities (Marutlulle, 2021). Diverse fire risk profiles emerge within and across cities due to factors such as ignition sources from informal economies, cooking practices, and electrical infrastructure. Regional climate variability, drought cycles, and vegetation interact with urban activities, affecting ignition sources, fire spread, and containment capacity (Jones et al., 2022). Regional fire risk results from the interplay between climate drivers and the social-ecological structure of urban areas. Fire services and disaster risk management are typically organized across municipal, provincial/state, and national levels, presenting challenges related to funding, capacity, and coordination that may impede effective prevention and response (Hosford, 2020). Collaboration across jurisdictions is essential for reducing regional fire risk. Context-specific regional data on fire incidence, loss patterns, and intervention effectiveness is essential for informing shared strategies and facilitating knowledge exchange (Bacciu et al., 2022).</w:t>
      </w:r>
    </w:p>
    <w:p w14:paraId="6BD44352"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 xml:space="preserve">In Zimbabwe, national statutes and policies related to disaster risk management, urban planning, housing, and public safety define the mandate and resources allocated for managing urban fire hazards (Mutizwa, 2021). Coherence in policy across various sectors affects outcomes related to prevention, preparedness, and recovery. The effectiveness of prevention, detection, and response efforts is contingent upon the coordination among national disaster management agencies, municipal fire services, law enforcement and </w:t>
      </w:r>
      <w:r w:rsidRPr="00BE2000">
        <w:rPr>
          <w:color w:val="000000" w:themeColor="text1"/>
          <w:sz w:val="22"/>
          <w:szCs w:val="22"/>
        </w:rPr>
        <w:lastRenderedPageBreak/>
        <w:t xml:space="preserve">health services (Smeby &amp; Smeby, 2021). Collaboration among agencies and a clear definition of responsibilities are crucial for prompt action. </w:t>
      </w:r>
    </w:p>
    <w:p w14:paraId="49278D83"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 xml:space="preserve">The presence of fire incident data, building bylaws, inspection protocols, and risk communication strategies influences risk assessment and decision-making processes. Data gaps, including informal settlement mapping and real-time monitoring, present challenges as well as opportunities for methodological innovation (Loggia &amp; Govender, 2020). National urbanization trajectories, housing policies, and infrastructure development significantly affect population vulnerability and system resilience. Integrating fire risk considerations into strategic urban planning can mitigate exposure and improve adaptive capacity (Bacciu et al., 2022). </w:t>
      </w:r>
    </w:p>
    <w:p w14:paraId="0D6CA3A6"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As the capital and a significant metropolitan centre, Harare is home to a large population, a lot of business, and vital infrastructure, all of which increase the risk of fire and possible damages (Masimba &amp; Walnycki, 2024). Because of its economic status in the country, the city serves as a focus point for learning how urban fire threats appear in situations that are quickly urbanizing. There are different ignition sources, building types, and accessibility issues for emergency services in Harare's formal districts, peri-urban areas, industry, commercial centres, and informal settlements (Bhanye et al.,2023). A thorough understanding of how various urban morphologies affect fire danger and mitigation capabilities is made possible by this diversity. In addition to enduring shortages like mapping of informal settlements and real-time monitoring, Harare provides a variety of municipal documents, utility data, and incident reports from the past. This combination makes it possible to conduct a thorough evaluation while drawing attention to real-world data issues that are common in many metropolitan areas with low to middle incomes (Tanyanyiwa, 2023). In addition to providing transferable insights for other rapidly urbanizing cities in Zimbabwe and the region, the findings from Harare can help guide municipal risk-reduction planning and participate in national policy discussions (Bandauko, 2021).</w:t>
      </w:r>
    </w:p>
    <w:p w14:paraId="1BCECE9B" w14:textId="77777777" w:rsidR="006E5540" w:rsidRPr="00BE2000" w:rsidRDefault="006E5540" w:rsidP="002B358B">
      <w:pPr>
        <w:spacing w:line="360" w:lineRule="auto"/>
        <w:jc w:val="both"/>
        <w:rPr>
          <w:color w:val="000000" w:themeColor="text1"/>
          <w:sz w:val="22"/>
          <w:szCs w:val="22"/>
        </w:rPr>
      </w:pPr>
    </w:p>
    <w:p w14:paraId="67D8C5BB"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 xml:space="preserve">Urban fire hazards in Harare present complex challenges stemming from the city's rapidly growing population, informal economy, and infrastructural limitations. Analyzing case studies from various fire typologies, including residential areas, marketplaces, industrial facilities, commercial spaces, urban-rural interface landscapes, dumpsites, and home industries, is essential for comprehending and mitigating these risks. This research analyzes seven categories of case studies: residential fires, market fires, industrial fires, commercial fires, veld fires, dumpsite fires, and home industry fires. This analysis draws on documented instances, including the Mbare Musika market fire, Paramount Garments, the 2016 Graniteside fire in the CBD at the shopping mall situated at the intersection of Julius Nyerere and Speke Avenue, opposite Joina City, as well as the Ingwe farm veld fires, Pomona dumpsite fires, and incidents at the Glen View home industry complex and Magaba home industries. This analysis examines key risk drivers, data collection </w:t>
      </w:r>
      <w:r w:rsidRPr="00BE2000">
        <w:rPr>
          <w:color w:val="000000" w:themeColor="text1"/>
          <w:sz w:val="22"/>
          <w:szCs w:val="22"/>
        </w:rPr>
        <w:lastRenderedPageBreak/>
        <w:t>components, and their implications for urban design, emergency response, and community resilience in Harare.</w:t>
      </w:r>
    </w:p>
    <w:p w14:paraId="02268455" w14:textId="77777777" w:rsidR="006E5540" w:rsidRPr="00BE2000" w:rsidRDefault="006E5540" w:rsidP="002B358B">
      <w:pPr>
        <w:spacing w:line="360" w:lineRule="auto"/>
        <w:jc w:val="both"/>
        <w:rPr>
          <w:color w:val="000000" w:themeColor="text1"/>
          <w:sz w:val="22"/>
          <w:szCs w:val="22"/>
        </w:rPr>
      </w:pPr>
    </w:p>
    <w:p w14:paraId="1AAF6BDA" w14:textId="77777777" w:rsidR="006E5540" w:rsidRDefault="006E5540" w:rsidP="00394501">
      <w:pPr>
        <w:pStyle w:val="Heading2"/>
      </w:pPr>
      <w:bookmarkStart w:id="46" w:name="_Toc215652880"/>
      <w:r w:rsidRPr="00BE2000">
        <w:t>2.2 Conceptual Framework</w:t>
      </w:r>
      <w:bookmarkEnd w:id="46"/>
    </w:p>
    <w:p w14:paraId="4F7F075A" w14:textId="77777777" w:rsidR="007B7DDF" w:rsidRPr="007B7DDF" w:rsidRDefault="007B7DDF" w:rsidP="009963EC">
      <w:pPr>
        <w:pStyle w:val="NormalWeb"/>
        <w:spacing w:line="360" w:lineRule="auto"/>
        <w:jc w:val="both"/>
      </w:pPr>
      <w:r w:rsidRPr="007B7DDF">
        <w:t xml:space="preserve">Urban fire hazards present complex challenges that require an integrated framework for effective analysis and management. This study adopts a conceptual framework based on five key components: </w:t>
      </w:r>
      <w:r w:rsidRPr="007B7DDF">
        <w:rPr>
          <w:rStyle w:val="Strong"/>
          <w:rFonts w:eastAsiaTheme="majorEastAsia"/>
        </w:rPr>
        <w:t>hazard, exposure, vulnerability, coping capacity (resilience), and impact</w:t>
      </w:r>
      <w:r w:rsidRPr="007B7DDF">
        <w:t>. Fire hazard refers to conditions that increase the likelihood of ignition and fire spread, including building materials, density, and faulty electrical systems (Kodur et al., 2020; Fu, 2022). Exposure captures the people, infrastructure, and services located in fire-prone areas (He &amp; Weng, 2025). Vulnerability reflects the susceptibility of these exposed elements to damage, influenced by physical, social, economic, and institutional factors (Kodur et al., 2020).</w:t>
      </w:r>
    </w:p>
    <w:p w14:paraId="5749F7DD" w14:textId="77777777" w:rsidR="007B7DDF" w:rsidRPr="007B7DDF" w:rsidRDefault="007B7DDF" w:rsidP="009963EC">
      <w:pPr>
        <w:pStyle w:val="NormalWeb"/>
        <w:spacing w:line="360" w:lineRule="auto"/>
        <w:jc w:val="both"/>
      </w:pPr>
      <w:r w:rsidRPr="007B7DDF">
        <w:t>Coping capacity, grounded in urban resilience theory, describes the ability of a system to anticipate, respond to, and recover from fire incidents through robustness, redundancy, resourcefulness, and rapidity (Nazif et al., 2021; Métais et al., 2022). The interaction of these components determines the overall impact of fire events, including direct losses such as fatalities and property damage, as well as indirect effects like economic disruption and displacement (Lara Mesa, 2021).</w:t>
      </w:r>
    </w:p>
    <w:p w14:paraId="4BB6AFE7" w14:textId="77777777" w:rsidR="007B7DDF" w:rsidRPr="007B7DDF" w:rsidRDefault="007B7DDF" w:rsidP="009963EC">
      <w:pPr>
        <w:pStyle w:val="NormalWeb"/>
        <w:spacing w:line="360" w:lineRule="auto"/>
        <w:jc w:val="both"/>
      </w:pPr>
      <w:r w:rsidRPr="007B7DDF">
        <w:t xml:space="preserve">This study is anchored in </w:t>
      </w:r>
      <w:r w:rsidRPr="007B7DDF">
        <w:rPr>
          <w:rStyle w:val="Strong"/>
          <w:rFonts w:eastAsiaTheme="majorEastAsia"/>
        </w:rPr>
        <w:t>risk assessment and urban resilience theories</w:t>
      </w:r>
      <w:r w:rsidRPr="007B7DDF">
        <w:t>, where risk is conceptualised as a function of hazard, exposure, and vulnerability, moderated by coping capacity (Dewan, 2013; Smith et al., 2023). These frameworks provide a systematic basis for analysing fire risk, identifying critical gaps, and informing mitigation strategies in urban settings (Bacciu et al., 2022; Galderisi &amp; Limongi, 2021; Zhai &amp; Lee, 2024). Applied to Harare, this approach enables a structured assessment of fire risk drivers, impacts, and response capacity, thereby supporting evidence-based interventions for improved urban safety and resilience.</w:t>
      </w:r>
    </w:p>
    <w:p w14:paraId="09E85CB1" w14:textId="77777777" w:rsidR="007B7DDF" w:rsidRPr="007B7DDF" w:rsidRDefault="007B7DDF" w:rsidP="007B7DDF">
      <w:pPr>
        <w:rPr>
          <w:lang w:val="en-GB"/>
        </w:rPr>
      </w:pPr>
    </w:p>
    <w:p w14:paraId="0CF852C8" w14:textId="77777777" w:rsidR="006E5540" w:rsidRPr="00BE2000" w:rsidRDefault="006E5540" w:rsidP="002B358B">
      <w:pPr>
        <w:pStyle w:val="Heading3"/>
        <w:jc w:val="both"/>
        <w:rPr>
          <w:rFonts w:eastAsia="Times New Roman"/>
          <w:lang w:val="en-ZW"/>
        </w:rPr>
      </w:pPr>
      <w:bookmarkStart w:id="47" w:name="_Toc215652881"/>
      <w:r w:rsidRPr="00BE2000">
        <w:rPr>
          <w:rFonts w:eastAsia="Times New Roman"/>
          <w:lang w:val="en-ZW"/>
        </w:rPr>
        <w:t>2.2.1 Framework Operationalization</w:t>
      </w:r>
      <w:bookmarkEnd w:id="47"/>
      <w:r w:rsidRPr="00BE2000">
        <w:rPr>
          <w:rFonts w:eastAsia="Times New Roman"/>
          <w:lang w:val="en-ZW"/>
        </w:rPr>
        <w:t xml:space="preserve"> </w:t>
      </w:r>
    </w:p>
    <w:p w14:paraId="2D8C75AF" w14:textId="77777777"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t>Implementing the framework necessitates the conversion of concepts into quantifiable indicators and data sources. Potential indicators for the Harare city of Harare include:</w:t>
      </w:r>
    </w:p>
    <w:p w14:paraId="008B88CE" w14:textId="5533AC75" w:rsidR="006E5540" w:rsidRPr="00BE2000" w:rsidRDefault="006E5540" w:rsidP="002B358B">
      <w:pPr>
        <w:spacing w:line="360" w:lineRule="auto"/>
        <w:jc w:val="both"/>
        <w:rPr>
          <w:color w:val="000000" w:themeColor="text1"/>
          <w:sz w:val="22"/>
          <w:szCs w:val="22"/>
        </w:rPr>
      </w:pPr>
      <w:r w:rsidRPr="00BE2000">
        <w:rPr>
          <w:color w:val="000000" w:themeColor="text1"/>
          <w:sz w:val="22"/>
          <w:szCs w:val="22"/>
        </w:rPr>
        <w:lastRenderedPageBreak/>
        <w:t xml:space="preserve"> Hazards include historical fire frequency and ignition sources, fuel-load proxies such as </w:t>
      </w:r>
      <w:bookmarkStart w:id="48" w:name="_Hlk211279413"/>
      <w:r w:rsidRPr="00BE2000">
        <w:rPr>
          <w:color w:val="000000" w:themeColor="text1"/>
          <w:sz w:val="22"/>
          <w:szCs w:val="22"/>
        </w:rPr>
        <w:t>housing material types, climatic indicators like temperature and wind, and urban form metrics including building density and street network patterns</w:t>
      </w:r>
      <w:bookmarkEnd w:id="48"/>
      <w:r w:rsidRPr="00BE2000">
        <w:rPr>
          <w:color w:val="000000" w:themeColor="text1"/>
          <w:sz w:val="22"/>
          <w:szCs w:val="22"/>
        </w:rPr>
        <w:t xml:space="preserve">. Exposure includes </w:t>
      </w:r>
      <w:bookmarkStart w:id="49" w:name="_Hlk211279509"/>
      <w:r w:rsidRPr="00BE2000">
        <w:rPr>
          <w:color w:val="000000" w:themeColor="text1"/>
          <w:sz w:val="22"/>
          <w:szCs w:val="22"/>
        </w:rPr>
        <w:t>population density by ward, the number and type of structures (formal versus informal), the location of critical infrastructure such as hospitals and clinics, and proximity to fire stations</w:t>
      </w:r>
      <w:bookmarkEnd w:id="49"/>
      <w:r w:rsidRPr="00BE2000">
        <w:rPr>
          <w:color w:val="000000" w:themeColor="text1"/>
          <w:sz w:val="22"/>
          <w:szCs w:val="22"/>
        </w:rPr>
        <w:t xml:space="preserve">. </w:t>
      </w:r>
      <w:bookmarkStart w:id="50" w:name="_Hlk211279625"/>
      <w:r w:rsidRPr="00BE2000">
        <w:rPr>
          <w:color w:val="000000" w:themeColor="text1"/>
          <w:sz w:val="22"/>
          <w:szCs w:val="22"/>
        </w:rPr>
        <w:t>Vulnerability encompasses housing quality indices, literacy and awareness levels, access to water and electricity, poverty indices, enforcement of building and fire bylaws, and governance capacity indicators, including inspection coverage and emergency planning</w:t>
      </w:r>
      <w:bookmarkEnd w:id="50"/>
      <w:r w:rsidRPr="00BE2000">
        <w:rPr>
          <w:color w:val="000000" w:themeColor="text1"/>
          <w:sz w:val="22"/>
          <w:szCs w:val="22"/>
        </w:rPr>
        <w:t xml:space="preserve">. Coping capacity and resilience encompass fire service coverage and response times, redundancy in water and energy networks, public safety education programs, community emergency committees, and post-disaster recovery plans. Impact includes direct and indirect economic losses, injuries and fatalities, the duration and extent of service disruptions, and timelines for post-fire reconstruction. </w:t>
      </w:r>
    </w:p>
    <w:p w14:paraId="040BEC3B" w14:textId="3C13C207" w:rsidR="006E5540" w:rsidRPr="00BE2000" w:rsidRDefault="009963EC" w:rsidP="002B358B">
      <w:pPr>
        <w:spacing w:line="360" w:lineRule="auto"/>
        <w:jc w:val="both"/>
        <w:rPr>
          <w:rFonts w:eastAsia="Calibri"/>
          <w:b/>
          <w:bCs/>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59264" behindDoc="0" locked="0" layoutInCell="1" allowOverlap="1" wp14:anchorId="7140EFE6" wp14:editId="1B949982">
                <wp:simplePos x="0" y="0"/>
                <wp:positionH relativeFrom="column">
                  <wp:posOffset>31750</wp:posOffset>
                </wp:positionH>
                <wp:positionV relativeFrom="paragraph">
                  <wp:posOffset>80645</wp:posOffset>
                </wp:positionV>
                <wp:extent cx="3187700" cy="711200"/>
                <wp:effectExtent l="0" t="0" r="12700" b="12700"/>
                <wp:wrapNone/>
                <wp:docPr id="1030200036" name="Rectangle 1"/>
                <wp:cNvGraphicFramePr/>
                <a:graphic xmlns:a="http://schemas.openxmlformats.org/drawingml/2006/main">
                  <a:graphicData uri="http://schemas.microsoft.com/office/word/2010/wordprocessingShape">
                    <wps:wsp>
                      <wps:cNvSpPr/>
                      <wps:spPr>
                        <a:xfrm>
                          <a:off x="0" y="0"/>
                          <a:ext cx="3187700" cy="711200"/>
                        </a:xfrm>
                        <a:prstGeom prst="rect">
                          <a:avLst/>
                        </a:prstGeom>
                        <a:noFill/>
                        <a:ln w="12700" cap="flat" cmpd="sng" algn="ctr">
                          <a:solidFill>
                            <a:srgbClr val="4472C4">
                              <a:shade val="15000"/>
                            </a:srgbClr>
                          </a:solidFill>
                          <a:prstDash val="solid"/>
                          <a:miter lim="800000"/>
                        </a:ln>
                        <a:effectLst/>
                      </wps:spPr>
                      <wps:txbx>
                        <w:txbxContent>
                          <w:p w14:paraId="3BF866CA" w14:textId="77777777" w:rsidR="005C1C7A" w:rsidRPr="001D11F6" w:rsidRDefault="005C1C7A" w:rsidP="006E5540">
                            <w:pPr>
                              <w:jc w:val="center"/>
                              <w:rPr>
                                <w:b/>
                                <w:bCs/>
                                <w:color w:val="000000"/>
                                <w:sz w:val="20"/>
                                <w:szCs w:val="20"/>
                              </w:rPr>
                            </w:pPr>
                            <w:r w:rsidRPr="001D11F6">
                              <w:rPr>
                                <w:b/>
                                <w:bCs/>
                                <w:color w:val="000000"/>
                                <w:sz w:val="20"/>
                                <w:szCs w:val="20"/>
                              </w:rPr>
                              <w:t>Fire Hazard</w:t>
                            </w:r>
                          </w:p>
                          <w:p w14:paraId="438C39CF" w14:textId="77777777" w:rsidR="005C1C7A" w:rsidRPr="002D1997" w:rsidRDefault="005C1C7A" w:rsidP="006E5540">
                            <w:pPr>
                              <w:jc w:val="center"/>
                              <w:rPr>
                                <w:color w:val="000000"/>
                                <w:sz w:val="10"/>
                                <w:szCs w:val="10"/>
                              </w:rPr>
                            </w:pPr>
                            <w:r w:rsidRPr="001D11F6">
                              <w:rPr>
                                <w:color w:val="000000"/>
                                <w:sz w:val="18"/>
                                <w:szCs w:val="18"/>
                              </w:rPr>
                              <w:t>(The initiating risk factor, housing material types, climatic indicators like temperature and wind, and urban form metrics including building density and street network</w:t>
                            </w:r>
                            <w:r w:rsidRPr="001D11F6">
                              <w:rPr>
                                <w:color w:val="000000"/>
                                <w:sz w:val="20"/>
                                <w:szCs w:val="20"/>
                              </w:rPr>
                              <w:t xml:space="preserve"> patterns)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40EFE6" id="Rectangle 1" o:spid="_x0000_s1026" style="position:absolute;left:0;text-align:left;margin-left:2.5pt;margin-top:6.35pt;width:251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" filled="f" strokecolor="#172c51" strokeweight="1pt">
                <v:textbox>
                  <w:txbxContent>
                    <w:p w14:paraId="3BF866CA" w14:textId="77777777" w:rsidR="005C1C7A" w:rsidRPr="001D11F6" w:rsidRDefault="005C1C7A" w:rsidP="006E5540">
                      <w:pPr>
                        <w:jc w:val="center"/>
                        <w:rPr>
                          <w:b/>
                          <w:bCs/>
                          <w:color w:val="000000"/>
                          <w:sz w:val="20"/>
                          <w:szCs w:val="20"/>
                        </w:rPr>
                      </w:pPr>
                      <w:r w:rsidRPr="001D11F6">
                        <w:rPr>
                          <w:b/>
                          <w:bCs/>
                          <w:color w:val="000000"/>
                          <w:sz w:val="20"/>
                          <w:szCs w:val="20"/>
                        </w:rPr>
                        <w:t>Fire Hazard</w:t>
                      </w:r>
                    </w:p>
                    <w:p w14:paraId="438C39CF" w14:textId="77777777" w:rsidR="005C1C7A" w:rsidRPr="002D1997" w:rsidRDefault="005C1C7A" w:rsidP="006E5540">
                      <w:pPr>
                        <w:jc w:val="center"/>
                        <w:rPr>
                          <w:color w:val="000000"/>
                          <w:sz w:val="10"/>
                          <w:szCs w:val="10"/>
                        </w:rPr>
                      </w:pPr>
                      <w:r w:rsidRPr="001D11F6">
                        <w:rPr>
                          <w:color w:val="000000"/>
                          <w:sz w:val="18"/>
                          <w:szCs w:val="18"/>
                        </w:rPr>
                        <w:t>(The initiating risk factor, housing material types, climatic indicators like temperature and wind, and urban form metrics including building density and street network</w:t>
                      </w:r>
                      <w:r w:rsidRPr="001D11F6">
                        <w:rPr>
                          <w:color w:val="000000"/>
                          <w:sz w:val="20"/>
                          <w:szCs w:val="20"/>
                        </w:rPr>
                        <w:t xml:space="preserve"> patterns)</w:t>
                      </w:r>
                    </w:p>
                  </w:txbxContent>
                </v:textbox>
              </v:rect>
            </w:pict>
          </mc:Fallback>
        </mc:AlternateContent>
      </w:r>
    </w:p>
    <w:p w14:paraId="5872390C" w14:textId="2706CCAB" w:rsidR="006E5540" w:rsidRPr="00BE2000" w:rsidRDefault="006E5540" w:rsidP="002B358B">
      <w:pPr>
        <w:spacing w:line="360" w:lineRule="auto"/>
        <w:jc w:val="both"/>
        <w:rPr>
          <w:rFonts w:eastAsia="Calibri"/>
          <w:color w:val="000000" w:themeColor="text1"/>
          <w:sz w:val="22"/>
          <w:szCs w:val="22"/>
        </w:rPr>
      </w:pPr>
    </w:p>
    <w:p w14:paraId="31036DBD" w14:textId="1E5F492A" w:rsidR="006E5540" w:rsidRPr="00BE2000" w:rsidRDefault="006E5540" w:rsidP="002B358B">
      <w:pPr>
        <w:spacing w:line="360" w:lineRule="auto"/>
        <w:jc w:val="both"/>
        <w:rPr>
          <w:rFonts w:eastAsia="Calibri"/>
          <w:color w:val="000000" w:themeColor="text1"/>
          <w:sz w:val="22"/>
          <w:szCs w:val="22"/>
        </w:rPr>
      </w:pPr>
    </w:p>
    <w:p w14:paraId="6B95C738" w14:textId="0BE1786A" w:rsidR="006E5540" w:rsidRPr="00BE2000" w:rsidRDefault="001D11F6" w:rsidP="002B358B">
      <w:pPr>
        <w:spacing w:line="360" w:lineRule="auto"/>
        <w:jc w:val="both"/>
        <w:rPr>
          <w:rFonts w:eastAsia="Calibri"/>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71552" behindDoc="0" locked="0" layoutInCell="1" allowOverlap="1" wp14:anchorId="22325908" wp14:editId="028BD9A6">
                <wp:simplePos x="0" y="0"/>
                <wp:positionH relativeFrom="column">
                  <wp:posOffset>1608455</wp:posOffset>
                </wp:positionH>
                <wp:positionV relativeFrom="paragraph">
                  <wp:posOffset>71755</wp:posOffset>
                </wp:positionV>
                <wp:extent cx="0" cy="236943"/>
                <wp:effectExtent l="76200" t="0" r="57150" b="48895"/>
                <wp:wrapNone/>
                <wp:docPr id="490974301" name="Straight Arrow Connector 1"/>
                <wp:cNvGraphicFramePr/>
                <a:graphic xmlns:a="http://schemas.openxmlformats.org/drawingml/2006/main">
                  <a:graphicData uri="http://schemas.microsoft.com/office/word/2010/wordprocessingShape">
                    <wps:wsp>
                      <wps:cNvCnPr/>
                      <wps:spPr>
                        <a:xfrm>
                          <a:off x="0" y="0"/>
                          <a:ext cx="0" cy="23694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DAEA0D0" id="_x0000_t32" coordsize="21600,21600" o:spt="32" o:oned="t" path="m,l21600,21600e" filled="f">
                <v:path arrowok="t" fillok="f" o:connecttype="none"/>
                <o:lock v:ext="edit" shapetype="t"/>
              </v:shapetype>
              <v:shape id="Straight Arrow Connector 1" o:spid="_x0000_s1026" type="#_x0000_t32" style="position:absolute;margin-left:126.65pt;margin-top:5.65pt;width:0;height:18.6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" strokecolor="windowText" strokeweight=".5pt">
                <v:stroke endarrow="block" joinstyle="miter"/>
              </v:shape>
            </w:pict>
          </mc:Fallback>
        </mc:AlternateContent>
      </w:r>
      <w:r w:rsidRPr="00BE2000">
        <w:rPr>
          <w:rFonts w:eastAsia="Calibri"/>
          <w:b/>
          <w:bCs/>
          <w:noProof/>
          <w:color w:val="000000" w:themeColor="text1"/>
          <w:sz w:val="22"/>
          <w:szCs w:val="22"/>
        </w:rPr>
        <mc:AlternateContent>
          <mc:Choice Requires="wps">
            <w:drawing>
              <wp:anchor distT="0" distB="0" distL="114300" distR="114300" simplePos="0" relativeHeight="251661312" behindDoc="0" locked="0" layoutInCell="1" allowOverlap="1" wp14:anchorId="6EFD3838" wp14:editId="57304B82">
                <wp:simplePos x="0" y="0"/>
                <wp:positionH relativeFrom="margin">
                  <wp:posOffset>3670300</wp:posOffset>
                </wp:positionH>
                <wp:positionV relativeFrom="paragraph">
                  <wp:posOffset>145415</wp:posOffset>
                </wp:positionV>
                <wp:extent cx="2895600" cy="1035685"/>
                <wp:effectExtent l="0" t="0" r="19050" b="12065"/>
                <wp:wrapNone/>
                <wp:docPr id="536108530" name="Rectangle 1"/>
                <wp:cNvGraphicFramePr/>
                <a:graphic xmlns:a="http://schemas.openxmlformats.org/drawingml/2006/main">
                  <a:graphicData uri="http://schemas.microsoft.com/office/word/2010/wordprocessingShape">
                    <wps:wsp>
                      <wps:cNvSpPr/>
                      <wps:spPr>
                        <a:xfrm>
                          <a:off x="0" y="0"/>
                          <a:ext cx="2895600" cy="1035685"/>
                        </a:xfrm>
                        <a:prstGeom prst="rect">
                          <a:avLst/>
                        </a:prstGeom>
                        <a:noFill/>
                        <a:ln w="12700" cap="flat" cmpd="sng" algn="ctr">
                          <a:solidFill>
                            <a:srgbClr val="4472C4">
                              <a:shade val="15000"/>
                            </a:srgbClr>
                          </a:solidFill>
                          <a:prstDash val="solid"/>
                          <a:miter lim="800000"/>
                        </a:ln>
                        <a:effectLst/>
                      </wps:spPr>
                      <wps:txbx>
                        <w:txbxContent>
                          <w:p w14:paraId="1503A143" w14:textId="77777777" w:rsidR="005C1C7A" w:rsidRPr="001D11F6" w:rsidRDefault="005C1C7A" w:rsidP="006E5540">
                            <w:pPr>
                              <w:jc w:val="center"/>
                              <w:rPr>
                                <w:b/>
                                <w:bCs/>
                                <w:color w:val="000000"/>
                                <w:sz w:val="20"/>
                                <w:szCs w:val="20"/>
                              </w:rPr>
                            </w:pPr>
                            <w:r w:rsidRPr="001D11F6">
                              <w:rPr>
                                <w:b/>
                                <w:bCs/>
                                <w:color w:val="000000"/>
                                <w:sz w:val="20"/>
                                <w:szCs w:val="20"/>
                              </w:rPr>
                              <w:t>Vulnerability</w:t>
                            </w:r>
                          </w:p>
                          <w:p w14:paraId="474E47DA" w14:textId="77777777" w:rsidR="005C1C7A" w:rsidRPr="001D11F6" w:rsidRDefault="005C1C7A" w:rsidP="006E5540">
                            <w:pPr>
                              <w:jc w:val="center"/>
                              <w:rPr>
                                <w:color w:val="000000"/>
                                <w:sz w:val="20"/>
                                <w:szCs w:val="20"/>
                              </w:rPr>
                            </w:pPr>
                            <w:r w:rsidRPr="001D11F6">
                              <w:rPr>
                                <w:color w:val="000000"/>
                                <w:sz w:val="20"/>
                                <w:szCs w:val="20"/>
                              </w:rPr>
                              <w:t>(housing quality indices, literacy and awareness levels, access to water and electricity, poverty indices, enforcement of building and fire bylaws, and governance capacity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FD3838" id="_x0000_s1027" style="position:absolute;left:0;text-align:left;margin-left:289pt;margin-top:11.45pt;width:228pt;height:81.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" filled="f" strokecolor="#172c51" strokeweight="1pt">
                <v:textbox>
                  <w:txbxContent>
                    <w:p w14:paraId="1503A143" w14:textId="77777777" w:rsidR="005C1C7A" w:rsidRPr="001D11F6" w:rsidRDefault="005C1C7A" w:rsidP="006E5540">
                      <w:pPr>
                        <w:jc w:val="center"/>
                        <w:rPr>
                          <w:b/>
                          <w:bCs/>
                          <w:color w:val="000000"/>
                          <w:sz w:val="20"/>
                          <w:szCs w:val="20"/>
                        </w:rPr>
                      </w:pPr>
                      <w:r w:rsidRPr="001D11F6">
                        <w:rPr>
                          <w:b/>
                          <w:bCs/>
                          <w:color w:val="000000"/>
                          <w:sz w:val="20"/>
                          <w:szCs w:val="20"/>
                        </w:rPr>
                        <w:t>Vulnerability</w:t>
                      </w:r>
                    </w:p>
                    <w:p w14:paraId="474E47DA" w14:textId="77777777" w:rsidR="005C1C7A" w:rsidRPr="001D11F6" w:rsidRDefault="005C1C7A" w:rsidP="006E5540">
                      <w:pPr>
                        <w:jc w:val="center"/>
                        <w:rPr>
                          <w:color w:val="000000"/>
                          <w:sz w:val="20"/>
                          <w:szCs w:val="20"/>
                        </w:rPr>
                      </w:pPr>
                      <w:r w:rsidRPr="001D11F6">
                        <w:rPr>
                          <w:color w:val="000000"/>
                          <w:sz w:val="20"/>
                          <w:szCs w:val="20"/>
                        </w:rPr>
                        <w:t>(housing quality indices, literacy and awareness levels, access to water and electricity, poverty indices, enforcement of building and fire bylaws, and governance capacity indicators)</w:t>
                      </w:r>
                    </w:p>
                  </w:txbxContent>
                </v:textbox>
                <w10:wrap anchorx="margin"/>
              </v:rect>
            </w:pict>
          </mc:Fallback>
        </mc:AlternateContent>
      </w:r>
    </w:p>
    <w:p w14:paraId="6C08AE32" w14:textId="0EBEA0B3" w:rsidR="006E5540" w:rsidRPr="00BE2000" w:rsidRDefault="001D11F6" w:rsidP="002B358B">
      <w:pPr>
        <w:spacing w:line="360" w:lineRule="auto"/>
        <w:jc w:val="both"/>
        <w:rPr>
          <w:rFonts w:eastAsia="Calibri"/>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60288" behindDoc="0" locked="0" layoutInCell="1" allowOverlap="1" wp14:anchorId="79B7E8EB" wp14:editId="09675ACB">
                <wp:simplePos x="0" y="0"/>
                <wp:positionH relativeFrom="margin">
                  <wp:posOffset>6350</wp:posOffset>
                </wp:positionH>
                <wp:positionV relativeFrom="paragraph">
                  <wp:posOffset>18415</wp:posOffset>
                </wp:positionV>
                <wp:extent cx="3213100" cy="861695"/>
                <wp:effectExtent l="0" t="0" r="25400" b="14605"/>
                <wp:wrapNone/>
                <wp:docPr id="417941295" name="Rectangle 1"/>
                <wp:cNvGraphicFramePr/>
                <a:graphic xmlns:a="http://schemas.openxmlformats.org/drawingml/2006/main">
                  <a:graphicData uri="http://schemas.microsoft.com/office/word/2010/wordprocessingShape">
                    <wps:wsp>
                      <wps:cNvSpPr/>
                      <wps:spPr>
                        <a:xfrm>
                          <a:off x="0" y="0"/>
                          <a:ext cx="3213100" cy="861695"/>
                        </a:xfrm>
                        <a:prstGeom prst="rect">
                          <a:avLst/>
                        </a:prstGeom>
                        <a:noFill/>
                        <a:ln w="12700" cap="flat" cmpd="sng" algn="ctr">
                          <a:solidFill>
                            <a:srgbClr val="4472C4">
                              <a:shade val="15000"/>
                            </a:srgbClr>
                          </a:solidFill>
                          <a:prstDash val="solid"/>
                          <a:miter lim="800000"/>
                        </a:ln>
                        <a:effectLst/>
                      </wps:spPr>
                      <wps:txbx>
                        <w:txbxContent>
                          <w:p w14:paraId="7E7800F2" w14:textId="77777777" w:rsidR="005C1C7A" w:rsidRPr="001D11F6" w:rsidRDefault="005C1C7A" w:rsidP="006E5540">
                            <w:pPr>
                              <w:jc w:val="center"/>
                              <w:rPr>
                                <w:b/>
                                <w:bCs/>
                                <w:color w:val="000000"/>
                                <w:sz w:val="20"/>
                                <w:szCs w:val="20"/>
                              </w:rPr>
                            </w:pPr>
                            <w:r w:rsidRPr="001D11F6">
                              <w:rPr>
                                <w:b/>
                                <w:bCs/>
                                <w:color w:val="000000"/>
                                <w:sz w:val="20"/>
                                <w:szCs w:val="20"/>
                              </w:rPr>
                              <w:t>Exposure</w:t>
                            </w:r>
                          </w:p>
                          <w:p w14:paraId="5CC92CF6" w14:textId="77777777" w:rsidR="005C1C7A" w:rsidRPr="001D11F6" w:rsidRDefault="005C1C7A" w:rsidP="006E5540">
                            <w:pPr>
                              <w:jc w:val="center"/>
                              <w:rPr>
                                <w:color w:val="000000"/>
                                <w:sz w:val="20"/>
                                <w:szCs w:val="20"/>
                              </w:rPr>
                            </w:pPr>
                            <w:r w:rsidRPr="001D11F6">
                              <w:rPr>
                                <w:color w:val="000000"/>
                                <w:sz w:val="20"/>
                                <w:szCs w:val="20"/>
                              </w:rPr>
                              <w:t>(population density, the number and type of structures (formal versus informal), the location of critical infrastructure such as hospitals and clinics, and proximity to fire stations)</w:t>
                            </w:r>
                          </w:p>
                          <w:p w14:paraId="2CCECCAF" w14:textId="77777777" w:rsidR="005C1C7A" w:rsidRPr="002D1997" w:rsidRDefault="005C1C7A" w:rsidP="006E5540">
                            <w:pPr>
                              <w:jc w:val="center"/>
                              <w:rPr>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B7E8EB" id="_x0000_s1028" style="position:absolute;left:0;text-align:left;margin-left:.5pt;margin-top:1.45pt;width:253pt;height:67.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" filled="f" strokecolor="#172c51" strokeweight="1pt">
                <v:textbox>
                  <w:txbxContent>
                    <w:p w14:paraId="7E7800F2" w14:textId="77777777" w:rsidR="005C1C7A" w:rsidRPr="001D11F6" w:rsidRDefault="005C1C7A" w:rsidP="006E5540">
                      <w:pPr>
                        <w:jc w:val="center"/>
                        <w:rPr>
                          <w:b/>
                          <w:bCs/>
                          <w:color w:val="000000"/>
                          <w:sz w:val="20"/>
                          <w:szCs w:val="20"/>
                        </w:rPr>
                      </w:pPr>
                      <w:r w:rsidRPr="001D11F6">
                        <w:rPr>
                          <w:b/>
                          <w:bCs/>
                          <w:color w:val="000000"/>
                          <w:sz w:val="20"/>
                          <w:szCs w:val="20"/>
                        </w:rPr>
                        <w:t>Exposure</w:t>
                      </w:r>
                    </w:p>
                    <w:p w14:paraId="5CC92CF6" w14:textId="77777777" w:rsidR="005C1C7A" w:rsidRPr="001D11F6" w:rsidRDefault="005C1C7A" w:rsidP="006E5540">
                      <w:pPr>
                        <w:jc w:val="center"/>
                        <w:rPr>
                          <w:color w:val="000000"/>
                          <w:sz w:val="20"/>
                          <w:szCs w:val="20"/>
                        </w:rPr>
                      </w:pPr>
                      <w:r w:rsidRPr="001D11F6">
                        <w:rPr>
                          <w:color w:val="000000"/>
                          <w:sz w:val="20"/>
                          <w:szCs w:val="20"/>
                        </w:rPr>
                        <w:t>(population density, the number and type of structures (formal versus informal), the location of critical infrastructure such as hospitals and clinics, and proximity to fire stations)</w:t>
                      </w:r>
                    </w:p>
                    <w:p w14:paraId="2CCECCAF" w14:textId="77777777" w:rsidR="005C1C7A" w:rsidRPr="002D1997" w:rsidRDefault="005C1C7A" w:rsidP="006E5540">
                      <w:pPr>
                        <w:jc w:val="center"/>
                        <w:rPr>
                          <w:color w:val="000000"/>
                          <w:sz w:val="20"/>
                          <w:szCs w:val="20"/>
                        </w:rPr>
                      </w:pPr>
                    </w:p>
                  </w:txbxContent>
                </v:textbox>
                <w10:wrap anchorx="margin"/>
              </v:rect>
            </w:pict>
          </mc:Fallback>
        </mc:AlternateContent>
      </w:r>
    </w:p>
    <w:p w14:paraId="240FA1F0" w14:textId="24667677" w:rsidR="006E5540" w:rsidRPr="00BE2000" w:rsidRDefault="006E5540" w:rsidP="002B358B">
      <w:pPr>
        <w:spacing w:line="360" w:lineRule="auto"/>
        <w:jc w:val="both"/>
        <w:rPr>
          <w:rFonts w:eastAsia="Calibri"/>
          <w:color w:val="000000" w:themeColor="text1"/>
          <w:sz w:val="22"/>
          <w:szCs w:val="22"/>
        </w:rPr>
      </w:pPr>
    </w:p>
    <w:p w14:paraId="06C42BB7" w14:textId="5C84CF31" w:rsidR="006E5540" w:rsidRPr="00BE2000" w:rsidRDefault="009963EC" w:rsidP="002B358B">
      <w:pPr>
        <w:spacing w:line="360" w:lineRule="auto"/>
        <w:jc w:val="both"/>
        <w:rPr>
          <w:rFonts w:eastAsia="Calibri"/>
          <w:color w:val="000000" w:themeColor="text1"/>
          <w:sz w:val="22"/>
          <w:szCs w:val="22"/>
        </w:rPr>
      </w:pPr>
      <w:r w:rsidRPr="00BE2000">
        <w:rPr>
          <w:rFonts w:eastAsia="Calibri"/>
          <w:noProof/>
          <w:color w:val="000000" w:themeColor="text1"/>
          <w:sz w:val="22"/>
          <w:szCs w:val="22"/>
        </w:rPr>
        <mc:AlternateContent>
          <mc:Choice Requires="wps">
            <w:drawing>
              <wp:anchor distT="0" distB="0" distL="114300" distR="114300" simplePos="0" relativeHeight="251667456" behindDoc="0" locked="0" layoutInCell="1" allowOverlap="1" wp14:anchorId="102842A3" wp14:editId="66520318">
                <wp:simplePos x="0" y="0"/>
                <wp:positionH relativeFrom="column">
                  <wp:posOffset>3219450</wp:posOffset>
                </wp:positionH>
                <wp:positionV relativeFrom="paragraph">
                  <wp:posOffset>66676</wp:posOffset>
                </wp:positionV>
                <wp:extent cx="450215" cy="45719"/>
                <wp:effectExtent l="0" t="38100" r="45085" b="88265"/>
                <wp:wrapNone/>
                <wp:docPr id="1614716824" name="Straight Arrow Connector 4"/>
                <wp:cNvGraphicFramePr/>
                <a:graphic xmlns:a="http://schemas.openxmlformats.org/drawingml/2006/main">
                  <a:graphicData uri="http://schemas.microsoft.com/office/word/2010/wordprocessingShape">
                    <wps:wsp>
                      <wps:cNvCnPr/>
                      <wps:spPr>
                        <a:xfrm>
                          <a:off x="0" y="0"/>
                          <a:ext cx="450215"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B81E92" id="Straight Arrow Connector 4" o:spid="_x0000_s1026" type="#_x0000_t32" style="position:absolute;margin-left:253.5pt;margin-top:5.25pt;width:35.4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" strokecolor="windowText" strokeweight=".5pt">
                <v:stroke endarrow="block" joinstyle="miter"/>
              </v:shape>
            </w:pict>
          </mc:Fallback>
        </mc:AlternateContent>
      </w:r>
    </w:p>
    <w:p w14:paraId="2ECDAF73" w14:textId="5D075A3D" w:rsidR="006E5540" w:rsidRPr="00BE2000" w:rsidRDefault="001D11F6" w:rsidP="002B358B">
      <w:pPr>
        <w:spacing w:line="360" w:lineRule="auto"/>
        <w:jc w:val="both"/>
        <w:rPr>
          <w:rFonts w:eastAsia="Calibri"/>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75648" behindDoc="0" locked="0" layoutInCell="1" allowOverlap="1" wp14:anchorId="565368D9" wp14:editId="3A301707">
                <wp:simplePos x="0" y="0"/>
                <wp:positionH relativeFrom="column">
                  <wp:posOffset>1593850</wp:posOffset>
                </wp:positionH>
                <wp:positionV relativeFrom="paragraph">
                  <wp:posOffset>157480</wp:posOffset>
                </wp:positionV>
                <wp:extent cx="0" cy="236855"/>
                <wp:effectExtent l="76200" t="0" r="57150" b="48895"/>
                <wp:wrapNone/>
                <wp:docPr id="877897892" name="Straight Arrow Connector 1"/>
                <wp:cNvGraphicFramePr/>
                <a:graphic xmlns:a="http://schemas.openxmlformats.org/drawingml/2006/main">
                  <a:graphicData uri="http://schemas.microsoft.com/office/word/2010/wordprocessingShape">
                    <wps:wsp>
                      <wps:cNvCnPr/>
                      <wps:spPr>
                        <a:xfrm>
                          <a:off x="0" y="0"/>
                          <a:ext cx="0" cy="2368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633273" id="Straight Arrow Connector 1" o:spid="_x0000_s1026" type="#_x0000_t32" style="position:absolute;margin-left:125.5pt;margin-top:12.4pt;width:0;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" strokecolor="windowText" strokeweight=".5pt">
                <v:stroke endarrow="block" joinstyle="miter"/>
              </v:shape>
            </w:pict>
          </mc:Fallback>
        </mc:AlternateContent>
      </w:r>
      <w:r w:rsidR="009963EC" w:rsidRPr="00BE2000">
        <w:rPr>
          <w:rFonts w:eastAsia="Calibri"/>
          <w:noProof/>
          <w:color w:val="000000" w:themeColor="text1"/>
          <w:sz w:val="22"/>
          <w:szCs w:val="22"/>
        </w:rPr>
        <mc:AlternateContent>
          <mc:Choice Requires="wps">
            <w:drawing>
              <wp:anchor distT="0" distB="0" distL="114300" distR="114300" simplePos="0" relativeHeight="251666432" behindDoc="0" locked="0" layoutInCell="1" allowOverlap="1" wp14:anchorId="0F3A3F6E" wp14:editId="6D89BA17">
                <wp:simplePos x="0" y="0"/>
                <wp:positionH relativeFrom="column">
                  <wp:posOffset>4577715</wp:posOffset>
                </wp:positionH>
                <wp:positionV relativeFrom="paragraph">
                  <wp:posOffset>232410</wp:posOffset>
                </wp:positionV>
                <wp:extent cx="4890" cy="273831"/>
                <wp:effectExtent l="76200" t="0" r="71755" b="50165"/>
                <wp:wrapNone/>
                <wp:docPr id="1738101328" name="Straight Arrow Connector 3"/>
                <wp:cNvGraphicFramePr/>
                <a:graphic xmlns:a="http://schemas.openxmlformats.org/drawingml/2006/main">
                  <a:graphicData uri="http://schemas.microsoft.com/office/word/2010/wordprocessingShape">
                    <wps:wsp>
                      <wps:cNvCnPr/>
                      <wps:spPr>
                        <a:xfrm>
                          <a:off x="0" y="0"/>
                          <a:ext cx="4890" cy="27383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9BEBA5" id="Straight Arrow Connector 3" o:spid="_x0000_s1026" type="#_x0000_t32" style="position:absolute;margin-left:360.45pt;margin-top:18.3pt;width:.4pt;height:2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" strokecolor="windowText" strokeweight=".5pt">
                <v:stroke endarrow="block" joinstyle="miter"/>
              </v:shape>
            </w:pict>
          </mc:Fallback>
        </mc:AlternateContent>
      </w:r>
    </w:p>
    <w:p w14:paraId="23D08973" w14:textId="379A90A2" w:rsidR="006E5540" w:rsidRDefault="006E5540" w:rsidP="002B358B">
      <w:pPr>
        <w:spacing w:line="360" w:lineRule="auto"/>
        <w:jc w:val="both"/>
        <w:rPr>
          <w:rFonts w:eastAsia="Calibri"/>
          <w:color w:val="000000" w:themeColor="text1"/>
          <w:sz w:val="22"/>
          <w:szCs w:val="22"/>
        </w:rPr>
      </w:pPr>
    </w:p>
    <w:p w14:paraId="004E1052" w14:textId="0F11E099" w:rsidR="009963EC" w:rsidRDefault="00337EBD" w:rsidP="002B358B">
      <w:pPr>
        <w:spacing w:line="360" w:lineRule="auto"/>
        <w:jc w:val="both"/>
        <w:rPr>
          <w:rFonts w:eastAsia="Calibri"/>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63360" behindDoc="0" locked="0" layoutInCell="1" allowOverlap="1" wp14:anchorId="70CFF37D" wp14:editId="3DFE661B">
                <wp:simplePos x="0" y="0"/>
                <wp:positionH relativeFrom="margin">
                  <wp:posOffset>3664162</wp:posOffset>
                </wp:positionH>
                <wp:positionV relativeFrom="paragraph">
                  <wp:posOffset>7620</wp:posOffset>
                </wp:positionV>
                <wp:extent cx="2895600" cy="889000"/>
                <wp:effectExtent l="0" t="0" r="19050" b="25400"/>
                <wp:wrapNone/>
                <wp:docPr id="1390728328" name="Rectangle 1"/>
                <wp:cNvGraphicFramePr/>
                <a:graphic xmlns:a="http://schemas.openxmlformats.org/drawingml/2006/main">
                  <a:graphicData uri="http://schemas.microsoft.com/office/word/2010/wordprocessingShape">
                    <wps:wsp>
                      <wps:cNvSpPr/>
                      <wps:spPr>
                        <a:xfrm>
                          <a:off x="0" y="0"/>
                          <a:ext cx="2895600" cy="889000"/>
                        </a:xfrm>
                        <a:prstGeom prst="rect">
                          <a:avLst/>
                        </a:prstGeom>
                        <a:noFill/>
                        <a:ln w="12700" cap="flat" cmpd="sng" algn="ctr">
                          <a:solidFill>
                            <a:srgbClr val="4472C4">
                              <a:shade val="15000"/>
                            </a:srgbClr>
                          </a:solidFill>
                          <a:prstDash val="solid"/>
                          <a:miter lim="800000"/>
                        </a:ln>
                        <a:effectLst/>
                      </wps:spPr>
                      <wps:txbx>
                        <w:txbxContent>
                          <w:p w14:paraId="517D0550" w14:textId="77777777" w:rsidR="005C1C7A" w:rsidRPr="001D11F6" w:rsidRDefault="005C1C7A" w:rsidP="006E5540">
                            <w:pPr>
                              <w:jc w:val="center"/>
                              <w:rPr>
                                <w:b/>
                                <w:bCs/>
                                <w:color w:val="000000"/>
                                <w:sz w:val="20"/>
                                <w:szCs w:val="20"/>
                              </w:rPr>
                            </w:pPr>
                            <w:r w:rsidRPr="001D11F6">
                              <w:rPr>
                                <w:b/>
                                <w:bCs/>
                                <w:color w:val="000000"/>
                                <w:sz w:val="20"/>
                                <w:szCs w:val="20"/>
                              </w:rPr>
                              <w:t>Coping Capacity</w:t>
                            </w:r>
                          </w:p>
                          <w:p w14:paraId="4441A893" w14:textId="4215803C" w:rsidR="005C1C7A" w:rsidRPr="001D11F6" w:rsidRDefault="001D11F6" w:rsidP="006E5540">
                            <w:pPr>
                              <w:jc w:val="center"/>
                              <w:rPr>
                                <w:color w:val="000000"/>
                                <w:sz w:val="20"/>
                                <w:szCs w:val="20"/>
                              </w:rPr>
                            </w:pPr>
                            <w:r>
                              <w:rPr>
                                <w:color w:val="000000"/>
                                <w:sz w:val="20"/>
                                <w:szCs w:val="20"/>
                              </w:rPr>
                              <w:t>(</w:t>
                            </w:r>
                            <w:r w:rsidR="005C1C7A" w:rsidRPr="001D11F6">
                              <w:rPr>
                                <w:color w:val="000000"/>
                                <w:sz w:val="20"/>
                                <w:szCs w:val="20"/>
                              </w:rPr>
                              <w:t>Ability to prepare for, respond to and recover from fire events</w:t>
                            </w:r>
                            <w:r>
                              <w:rPr>
                                <w:color w:val="000000"/>
                                <w:sz w:val="20"/>
                                <w:szCs w:val="20"/>
                              </w:rPr>
                              <w:t>)</w:t>
                            </w:r>
                          </w:p>
                          <w:p w14:paraId="25ECF96E" w14:textId="77777777" w:rsidR="005C1C7A" w:rsidRPr="002D1997" w:rsidRDefault="005C1C7A" w:rsidP="006E5540">
                            <w:pPr>
                              <w:jc w:val="center"/>
                              <w:rPr>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CFF37D" id="_x0000_s1029" style="position:absolute;left:0;text-align:left;margin-left:288.5pt;margin-top:.6pt;width:228pt;height:7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" filled="f" strokecolor="#172c51" strokeweight="1pt">
                <v:textbox>
                  <w:txbxContent>
                    <w:p w14:paraId="517D0550" w14:textId="77777777" w:rsidR="005C1C7A" w:rsidRPr="001D11F6" w:rsidRDefault="005C1C7A" w:rsidP="006E5540">
                      <w:pPr>
                        <w:jc w:val="center"/>
                        <w:rPr>
                          <w:b/>
                          <w:bCs/>
                          <w:color w:val="000000"/>
                          <w:sz w:val="20"/>
                          <w:szCs w:val="20"/>
                        </w:rPr>
                      </w:pPr>
                      <w:r w:rsidRPr="001D11F6">
                        <w:rPr>
                          <w:b/>
                          <w:bCs/>
                          <w:color w:val="000000"/>
                          <w:sz w:val="20"/>
                          <w:szCs w:val="20"/>
                        </w:rPr>
                        <w:t>Coping Capacity</w:t>
                      </w:r>
                    </w:p>
                    <w:p w14:paraId="4441A893" w14:textId="4215803C" w:rsidR="005C1C7A" w:rsidRPr="001D11F6" w:rsidRDefault="001D11F6" w:rsidP="006E5540">
                      <w:pPr>
                        <w:jc w:val="center"/>
                        <w:rPr>
                          <w:color w:val="000000"/>
                          <w:sz w:val="20"/>
                          <w:szCs w:val="20"/>
                        </w:rPr>
                      </w:pPr>
                      <w:r>
                        <w:rPr>
                          <w:color w:val="000000"/>
                          <w:sz w:val="20"/>
                          <w:szCs w:val="20"/>
                        </w:rPr>
                        <w:t>(</w:t>
                      </w:r>
                      <w:r w:rsidR="005C1C7A" w:rsidRPr="001D11F6">
                        <w:rPr>
                          <w:color w:val="000000"/>
                          <w:sz w:val="20"/>
                          <w:szCs w:val="20"/>
                        </w:rPr>
                        <w:t>Ability to prepare for, respond to and recover from fire events</w:t>
                      </w:r>
                      <w:r>
                        <w:rPr>
                          <w:color w:val="000000"/>
                          <w:sz w:val="20"/>
                          <w:szCs w:val="20"/>
                        </w:rPr>
                        <w:t>)</w:t>
                      </w:r>
                    </w:p>
                    <w:p w14:paraId="25ECF96E" w14:textId="77777777" w:rsidR="005C1C7A" w:rsidRPr="002D1997" w:rsidRDefault="005C1C7A" w:rsidP="006E5540">
                      <w:pPr>
                        <w:jc w:val="center"/>
                        <w:rPr>
                          <w:color w:val="000000"/>
                          <w:sz w:val="20"/>
                          <w:szCs w:val="20"/>
                        </w:rPr>
                      </w:pPr>
                    </w:p>
                  </w:txbxContent>
                </v:textbox>
                <w10:wrap anchorx="margin"/>
              </v:rect>
            </w:pict>
          </mc:Fallback>
        </mc:AlternateContent>
      </w:r>
      <w:r w:rsidR="001D11F6" w:rsidRPr="00BE2000">
        <w:rPr>
          <w:rFonts w:eastAsia="Calibri"/>
          <w:b/>
          <w:bCs/>
          <w:noProof/>
          <w:color w:val="000000" w:themeColor="text1"/>
          <w:sz w:val="22"/>
          <w:szCs w:val="22"/>
        </w:rPr>
        <mc:AlternateContent>
          <mc:Choice Requires="wps">
            <w:drawing>
              <wp:anchor distT="0" distB="0" distL="114300" distR="114300" simplePos="0" relativeHeight="251662336" behindDoc="0" locked="0" layoutInCell="1" allowOverlap="1" wp14:anchorId="43A4B9AF" wp14:editId="3BE2075A">
                <wp:simplePos x="0" y="0"/>
                <wp:positionH relativeFrom="margin">
                  <wp:posOffset>6350</wp:posOffset>
                </wp:positionH>
                <wp:positionV relativeFrom="paragraph">
                  <wp:posOffset>7620</wp:posOffset>
                </wp:positionV>
                <wp:extent cx="3206750" cy="889000"/>
                <wp:effectExtent l="0" t="0" r="12700" b="25400"/>
                <wp:wrapNone/>
                <wp:docPr id="670759792" name="Rectangle 1"/>
                <wp:cNvGraphicFramePr/>
                <a:graphic xmlns:a="http://schemas.openxmlformats.org/drawingml/2006/main">
                  <a:graphicData uri="http://schemas.microsoft.com/office/word/2010/wordprocessingShape">
                    <wps:wsp>
                      <wps:cNvSpPr/>
                      <wps:spPr>
                        <a:xfrm>
                          <a:off x="0" y="0"/>
                          <a:ext cx="3206750" cy="889000"/>
                        </a:xfrm>
                        <a:prstGeom prst="rect">
                          <a:avLst/>
                        </a:prstGeom>
                        <a:noFill/>
                        <a:ln w="12700" cap="flat" cmpd="sng" algn="ctr">
                          <a:solidFill>
                            <a:srgbClr val="4472C4">
                              <a:shade val="15000"/>
                            </a:srgbClr>
                          </a:solidFill>
                          <a:prstDash val="solid"/>
                          <a:miter lim="800000"/>
                        </a:ln>
                        <a:effectLst/>
                      </wps:spPr>
                      <wps:txbx>
                        <w:txbxContent>
                          <w:p w14:paraId="4BB5CCF0" w14:textId="77777777" w:rsidR="005C1C7A" w:rsidRPr="001D11F6" w:rsidRDefault="005C1C7A" w:rsidP="006E5540">
                            <w:pPr>
                              <w:jc w:val="center"/>
                              <w:rPr>
                                <w:b/>
                                <w:bCs/>
                                <w:color w:val="000000"/>
                                <w:sz w:val="20"/>
                                <w:szCs w:val="20"/>
                              </w:rPr>
                            </w:pPr>
                            <w:r w:rsidRPr="001D11F6">
                              <w:rPr>
                                <w:b/>
                                <w:bCs/>
                                <w:color w:val="000000"/>
                                <w:sz w:val="20"/>
                                <w:szCs w:val="20"/>
                              </w:rPr>
                              <w:t>Potential Impacts</w:t>
                            </w:r>
                          </w:p>
                          <w:p w14:paraId="1883E59D" w14:textId="77777777" w:rsidR="005C1C7A" w:rsidRPr="001D11F6" w:rsidRDefault="005C1C7A" w:rsidP="006E5540">
                            <w:pPr>
                              <w:jc w:val="center"/>
                              <w:rPr>
                                <w:color w:val="000000"/>
                                <w:sz w:val="20"/>
                                <w:szCs w:val="20"/>
                              </w:rPr>
                            </w:pPr>
                            <w:r w:rsidRPr="001D11F6">
                              <w:rPr>
                                <w:color w:val="000000"/>
                                <w:sz w:val="20"/>
                                <w:szCs w:val="20"/>
                              </w:rPr>
                              <w:t>(The observable effects resulting from the interaction of hazard, exposure, vulnerability, and coping capacity such as injuries, casualties, property/infrastructure loss)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A4B9AF" id="_x0000_s1030" style="position:absolute;left:0;text-align:left;margin-left:.5pt;margin-top:.6pt;width:252.5pt;height:7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" filled="f" strokecolor="#172c51" strokeweight="1pt">
                <v:textbox>
                  <w:txbxContent>
                    <w:p w14:paraId="4BB5CCF0" w14:textId="77777777" w:rsidR="005C1C7A" w:rsidRPr="001D11F6" w:rsidRDefault="005C1C7A" w:rsidP="006E5540">
                      <w:pPr>
                        <w:jc w:val="center"/>
                        <w:rPr>
                          <w:b/>
                          <w:bCs/>
                          <w:color w:val="000000"/>
                          <w:sz w:val="20"/>
                          <w:szCs w:val="20"/>
                        </w:rPr>
                      </w:pPr>
                      <w:r w:rsidRPr="001D11F6">
                        <w:rPr>
                          <w:b/>
                          <w:bCs/>
                          <w:color w:val="000000"/>
                          <w:sz w:val="20"/>
                          <w:szCs w:val="20"/>
                        </w:rPr>
                        <w:t>Potential Impacts</w:t>
                      </w:r>
                    </w:p>
                    <w:p w14:paraId="1883E59D" w14:textId="77777777" w:rsidR="005C1C7A" w:rsidRPr="001D11F6" w:rsidRDefault="005C1C7A" w:rsidP="006E5540">
                      <w:pPr>
                        <w:jc w:val="center"/>
                        <w:rPr>
                          <w:color w:val="000000"/>
                          <w:sz w:val="20"/>
                          <w:szCs w:val="20"/>
                        </w:rPr>
                      </w:pPr>
                      <w:r w:rsidRPr="001D11F6">
                        <w:rPr>
                          <w:color w:val="000000"/>
                          <w:sz w:val="20"/>
                          <w:szCs w:val="20"/>
                        </w:rPr>
                        <w:t>(The observable effects resulting from the interaction of hazard, exposure, vulnerability, and coping capacity such as injuries, casualties, property/infrastructure loss)</w:t>
                      </w:r>
                    </w:p>
                  </w:txbxContent>
                </v:textbox>
                <w10:wrap anchorx="margin"/>
              </v:rect>
            </w:pict>
          </mc:Fallback>
        </mc:AlternateContent>
      </w:r>
    </w:p>
    <w:p w14:paraId="1E29403D" w14:textId="391CEFB3" w:rsidR="009963EC" w:rsidRDefault="001D11F6" w:rsidP="002B358B">
      <w:pPr>
        <w:spacing w:line="360" w:lineRule="auto"/>
        <w:jc w:val="both"/>
        <w:rPr>
          <w:rFonts w:eastAsia="Calibri"/>
          <w:color w:val="000000" w:themeColor="text1"/>
          <w:sz w:val="22"/>
          <w:szCs w:val="22"/>
        </w:rPr>
      </w:pPr>
      <w:r w:rsidRPr="00BE2000">
        <w:rPr>
          <w:rFonts w:eastAsia="Calibri"/>
          <w:noProof/>
          <w:color w:val="000000" w:themeColor="text1"/>
          <w:sz w:val="22"/>
          <w:szCs w:val="22"/>
        </w:rPr>
        <mc:AlternateContent>
          <mc:Choice Requires="wps">
            <w:drawing>
              <wp:anchor distT="0" distB="0" distL="114300" distR="114300" simplePos="0" relativeHeight="251668480" behindDoc="0" locked="0" layoutInCell="1" allowOverlap="1" wp14:anchorId="02647AB4" wp14:editId="24C5DF89">
                <wp:simplePos x="0" y="0"/>
                <wp:positionH relativeFrom="column">
                  <wp:posOffset>3213099</wp:posOffset>
                </wp:positionH>
                <wp:positionV relativeFrom="paragraph">
                  <wp:posOffset>97154</wp:posOffset>
                </wp:positionV>
                <wp:extent cx="520700" cy="45719"/>
                <wp:effectExtent l="0" t="57150" r="12700" b="50165"/>
                <wp:wrapNone/>
                <wp:docPr id="1676842447" name="Straight Arrow Connector 5"/>
                <wp:cNvGraphicFramePr/>
                <a:graphic xmlns:a="http://schemas.openxmlformats.org/drawingml/2006/main">
                  <a:graphicData uri="http://schemas.microsoft.com/office/word/2010/wordprocessingShape">
                    <wps:wsp>
                      <wps:cNvCnPr/>
                      <wps:spPr>
                        <a:xfrm flipH="1" flipV="1">
                          <a:off x="0" y="0"/>
                          <a:ext cx="52070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959218" id="Straight Arrow Connector 5" o:spid="_x0000_s1026" type="#_x0000_t32" style="position:absolute;margin-left:253pt;margin-top:7.65pt;width:41pt;height:3.6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" strokecolor="windowText" strokeweight=".5pt">
                <v:stroke endarrow="block" joinstyle="miter"/>
              </v:shape>
            </w:pict>
          </mc:Fallback>
        </mc:AlternateContent>
      </w:r>
    </w:p>
    <w:p w14:paraId="1547FB5E" w14:textId="4C3F93E3" w:rsidR="009963EC" w:rsidRDefault="009963EC" w:rsidP="002B358B">
      <w:pPr>
        <w:spacing w:line="360" w:lineRule="auto"/>
        <w:jc w:val="both"/>
        <w:rPr>
          <w:rFonts w:eastAsia="Calibri"/>
          <w:color w:val="000000" w:themeColor="text1"/>
          <w:sz w:val="22"/>
          <w:szCs w:val="22"/>
        </w:rPr>
      </w:pPr>
    </w:p>
    <w:p w14:paraId="762FCE41" w14:textId="3E1953B1" w:rsidR="009963EC" w:rsidRPr="00BE2000" w:rsidRDefault="00337EBD" w:rsidP="002B358B">
      <w:pPr>
        <w:spacing w:line="360" w:lineRule="auto"/>
        <w:jc w:val="both"/>
        <w:rPr>
          <w:rFonts w:eastAsia="Calibri"/>
          <w:color w:val="000000" w:themeColor="text1"/>
          <w:sz w:val="22"/>
          <w:szCs w:val="22"/>
        </w:rPr>
      </w:pPr>
      <w:r w:rsidRPr="00BE2000">
        <w:rPr>
          <w:rFonts w:eastAsia="Calibri"/>
          <w:noProof/>
          <w:color w:val="000000" w:themeColor="text1"/>
          <w:sz w:val="22"/>
          <w:szCs w:val="22"/>
        </w:rPr>
        <mc:AlternateContent>
          <mc:Choice Requires="wps">
            <w:drawing>
              <wp:anchor distT="0" distB="0" distL="114300" distR="114300" simplePos="0" relativeHeight="251670528" behindDoc="0" locked="0" layoutInCell="1" allowOverlap="1" wp14:anchorId="730985D1" wp14:editId="4D5E0A8D">
                <wp:simplePos x="0" y="0"/>
                <wp:positionH relativeFrom="column">
                  <wp:posOffset>4587239</wp:posOffset>
                </wp:positionH>
                <wp:positionV relativeFrom="paragraph">
                  <wp:posOffset>176107</wp:posOffset>
                </wp:positionV>
                <wp:extent cx="45719" cy="303106"/>
                <wp:effectExtent l="57150" t="0" r="50165" b="59055"/>
                <wp:wrapNone/>
                <wp:docPr id="1085248718" name="Straight Arrow Connector 7"/>
                <wp:cNvGraphicFramePr/>
                <a:graphic xmlns:a="http://schemas.openxmlformats.org/drawingml/2006/main">
                  <a:graphicData uri="http://schemas.microsoft.com/office/word/2010/wordprocessingShape">
                    <wps:wsp>
                      <wps:cNvCnPr/>
                      <wps:spPr>
                        <a:xfrm flipH="1">
                          <a:off x="0" y="0"/>
                          <a:ext cx="45719" cy="30310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193DCD" id="_x0000_t32" coordsize="21600,21600" o:spt="32" o:oned="t" path="m,l21600,21600e" filled="f">
                <v:path arrowok="t" fillok="f" o:connecttype="none"/>
                <o:lock v:ext="edit" shapetype="t"/>
              </v:shapetype>
              <v:shape id="Straight Arrow Connector 7" o:spid="_x0000_s1026" type="#_x0000_t32" style="position:absolute;margin-left:361.2pt;margin-top:13.85pt;width:3.6pt;height:23.8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" strokecolor="windowText" strokeweight=".5pt">
                <v:stroke endarrow="block" joinstyle="miter"/>
              </v:shape>
            </w:pict>
          </mc:Fallback>
        </mc:AlternateContent>
      </w:r>
      <w:r w:rsidR="001D11F6" w:rsidRPr="00BE2000">
        <w:rPr>
          <w:rFonts w:eastAsia="Calibri"/>
          <w:noProof/>
          <w:color w:val="000000" w:themeColor="text1"/>
          <w:sz w:val="22"/>
          <w:szCs w:val="22"/>
        </w:rPr>
        <mc:AlternateContent>
          <mc:Choice Requires="wps">
            <w:drawing>
              <wp:anchor distT="0" distB="0" distL="114300" distR="114300" simplePos="0" relativeHeight="251669504" behindDoc="0" locked="0" layoutInCell="1" allowOverlap="1" wp14:anchorId="2269A1AB" wp14:editId="4114BDC9">
                <wp:simplePos x="0" y="0"/>
                <wp:positionH relativeFrom="column">
                  <wp:posOffset>1491615</wp:posOffset>
                </wp:positionH>
                <wp:positionV relativeFrom="paragraph">
                  <wp:posOffset>212090</wp:posOffset>
                </wp:positionV>
                <wp:extent cx="45719" cy="311150"/>
                <wp:effectExtent l="57150" t="0" r="50165" b="50800"/>
                <wp:wrapNone/>
                <wp:docPr id="1590271647" name="Straight Arrow Connector 6"/>
                <wp:cNvGraphicFramePr/>
                <a:graphic xmlns:a="http://schemas.openxmlformats.org/drawingml/2006/main">
                  <a:graphicData uri="http://schemas.microsoft.com/office/word/2010/wordprocessingShape">
                    <wps:wsp>
                      <wps:cNvCnPr/>
                      <wps:spPr>
                        <a:xfrm flipH="1">
                          <a:off x="0" y="0"/>
                          <a:ext cx="45719" cy="311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D36AB6" id="Straight Arrow Connector 6" o:spid="_x0000_s1026" type="#_x0000_t32" style="position:absolute;margin-left:117.45pt;margin-top:16.7pt;width:3.6pt;height:24.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" strokecolor="windowText" strokeweight=".5pt">
                <v:stroke endarrow="block" joinstyle="miter"/>
              </v:shape>
            </w:pict>
          </mc:Fallback>
        </mc:AlternateContent>
      </w:r>
    </w:p>
    <w:p w14:paraId="1235BCDF" w14:textId="2DDE1D91" w:rsidR="006E5540" w:rsidRPr="00BE2000" w:rsidRDefault="006E5540" w:rsidP="002B358B">
      <w:pPr>
        <w:spacing w:line="360" w:lineRule="auto"/>
        <w:jc w:val="both"/>
        <w:rPr>
          <w:rFonts w:eastAsia="Calibri"/>
          <w:color w:val="000000" w:themeColor="text1"/>
          <w:sz w:val="22"/>
          <w:szCs w:val="22"/>
        </w:rPr>
      </w:pPr>
    </w:p>
    <w:p w14:paraId="329B846A" w14:textId="3D2121F0" w:rsidR="006E5540" w:rsidRPr="00BE2000" w:rsidRDefault="009963EC" w:rsidP="002B358B">
      <w:pPr>
        <w:spacing w:line="360" w:lineRule="auto"/>
        <w:jc w:val="both"/>
        <w:rPr>
          <w:rFonts w:eastAsia="Calibri"/>
          <w:b/>
          <w:bCs/>
          <w:color w:val="000000" w:themeColor="text1"/>
          <w:sz w:val="22"/>
          <w:szCs w:val="22"/>
        </w:rPr>
      </w:pPr>
      <w:r w:rsidRPr="00BE2000">
        <w:rPr>
          <w:rFonts w:eastAsia="Calibri"/>
          <w:b/>
          <w:bCs/>
          <w:noProof/>
          <w:color w:val="000000" w:themeColor="text1"/>
          <w:sz w:val="22"/>
          <w:szCs w:val="22"/>
        </w:rPr>
        <mc:AlternateContent>
          <mc:Choice Requires="wps">
            <w:drawing>
              <wp:anchor distT="0" distB="0" distL="114300" distR="114300" simplePos="0" relativeHeight="251664384" behindDoc="0" locked="0" layoutInCell="1" allowOverlap="1" wp14:anchorId="48706C47" wp14:editId="28CEB72B">
                <wp:simplePos x="0" y="0"/>
                <wp:positionH relativeFrom="margin">
                  <wp:posOffset>6350</wp:posOffset>
                </wp:positionH>
                <wp:positionV relativeFrom="paragraph">
                  <wp:posOffset>41275</wp:posOffset>
                </wp:positionV>
                <wp:extent cx="5735320" cy="742950"/>
                <wp:effectExtent l="0" t="0" r="17780" b="19050"/>
                <wp:wrapNone/>
                <wp:docPr id="486045806" name="Rectangle 1"/>
                <wp:cNvGraphicFramePr/>
                <a:graphic xmlns:a="http://schemas.openxmlformats.org/drawingml/2006/main">
                  <a:graphicData uri="http://schemas.microsoft.com/office/word/2010/wordprocessingShape">
                    <wps:wsp>
                      <wps:cNvSpPr/>
                      <wps:spPr>
                        <a:xfrm>
                          <a:off x="0" y="0"/>
                          <a:ext cx="5735320" cy="742950"/>
                        </a:xfrm>
                        <a:prstGeom prst="rect">
                          <a:avLst/>
                        </a:prstGeom>
                        <a:noFill/>
                        <a:ln w="12700" cap="flat" cmpd="sng" algn="ctr">
                          <a:solidFill>
                            <a:srgbClr val="4472C4">
                              <a:shade val="15000"/>
                            </a:srgbClr>
                          </a:solidFill>
                          <a:prstDash val="solid"/>
                          <a:miter lim="800000"/>
                        </a:ln>
                        <a:effectLst/>
                      </wps:spPr>
                      <wps:txbx>
                        <w:txbxContent>
                          <w:p w14:paraId="5165DF32" w14:textId="77777777" w:rsidR="005C1C7A" w:rsidRPr="001D11F6" w:rsidRDefault="005C1C7A" w:rsidP="006E5540">
                            <w:pPr>
                              <w:jc w:val="center"/>
                              <w:rPr>
                                <w:b/>
                                <w:bCs/>
                                <w:color w:val="000000"/>
                                <w:sz w:val="20"/>
                                <w:szCs w:val="20"/>
                              </w:rPr>
                            </w:pPr>
                            <w:r w:rsidRPr="001D11F6">
                              <w:rPr>
                                <w:b/>
                                <w:bCs/>
                                <w:color w:val="000000"/>
                                <w:sz w:val="20"/>
                                <w:szCs w:val="20"/>
                              </w:rPr>
                              <w:t>Recovery &amp; feedback to vulnerability, exposure and coping capacity</w:t>
                            </w:r>
                          </w:p>
                          <w:p w14:paraId="4C3050AA" w14:textId="460F4ABB" w:rsidR="005C1C7A" w:rsidRPr="001D11F6" w:rsidRDefault="001D11F6" w:rsidP="006E5540">
                            <w:pPr>
                              <w:jc w:val="center"/>
                              <w:rPr>
                                <w:color w:val="000000"/>
                                <w:sz w:val="20"/>
                                <w:szCs w:val="20"/>
                              </w:rPr>
                            </w:pPr>
                            <w:r w:rsidRPr="001D11F6">
                              <w:rPr>
                                <w:color w:val="000000"/>
                                <w:sz w:val="20"/>
                                <w:szCs w:val="20"/>
                              </w:rPr>
                              <w:t>(</w:t>
                            </w:r>
                            <w:r w:rsidR="005C1C7A" w:rsidRPr="001D11F6">
                              <w:rPr>
                                <w:color w:val="000000"/>
                                <w:sz w:val="20"/>
                                <w:szCs w:val="20"/>
                              </w:rPr>
                              <w:t>How impacts influence future hazard, exposure, vulnerability and coping capacity; e.g. recovery efforts reducing vulnerability</w:t>
                            </w:r>
                            <w:r w:rsidRPr="001D11F6">
                              <w:rPr>
                                <w:color w:val="000000"/>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706C47" id="_x0000_s1031" style="position:absolute;left:0;text-align:left;margin-left:.5pt;margin-top:3.25pt;width:451.6pt;height:5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" filled="f" strokecolor="#172c51" strokeweight="1pt">
                <v:textbox>
                  <w:txbxContent>
                    <w:p w14:paraId="5165DF32" w14:textId="77777777" w:rsidR="005C1C7A" w:rsidRPr="001D11F6" w:rsidRDefault="005C1C7A" w:rsidP="006E5540">
                      <w:pPr>
                        <w:jc w:val="center"/>
                        <w:rPr>
                          <w:b/>
                          <w:bCs/>
                          <w:color w:val="000000"/>
                          <w:sz w:val="20"/>
                          <w:szCs w:val="20"/>
                        </w:rPr>
                      </w:pPr>
                      <w:r w:rsidRPr="001D11F6">
                        <w:rPr>
                          <w:b/>
                          <w:bCs/>
                          <w:color w:val="000000"/>
                          <w:sz w:val="20"/>
                          <w:szCs w:val="20"/>
                        </w:rPr>
                        <w:t>Recovery &amp; feedback to vulnerability, exposure and coping capacity</w:t>
                      </w:r>
                    </w:p>
                    <w:p w14:paraId="4C3050AA" w14:textId="460F4ABB" w:rsidR="005C1C7A" w:rsidRPr="001D11F6" w:rsidRDefault="001D11F6" w:rsidP="006E5540">
                      <w:pPr>
                        <w:jc w:val="center"/>
                        <w:rPr>
                          <w:color w:val="000000"/>
                          <w:sz w:val="20"/>
                          <w:szCs w:val="20"/>
                        </w:rPr>
                      </w:pPr>
                      <w:r w:rsidRPr="001D11F6">
                        <w:rPr>
                          <w:color w:val="000000"/>
                          <w:sz w:val="20"/>
                          <w:szCs w:val="20"/>
                        </w:rPr>
                        <w:t>(</w:t>
                      </w:r>
                      <w:r w:rsidR="005C1C7A" w:rsidRPr="001D11F6">
                        <w:rPr>
                          <w:color w:val="000000"/>
                          <w:sz w:val="20"/>
                          <w:szCs w:val="20"/>
                        </w:rPr>
                        <w:t>How impacts influence future hazard, exposure, vulnerability and coping capacity; e.g. recovery efforts reducing vulnerability</w:t>
                      </w:r>
                      <w:r w:rsidRPr="001D11F6">
                        <w:rPr>
                          <w:color w:val="000000"/>
                          <w:sz w:val="20"/>
                          <w:szCs w:val="20"/>
                        </w:rPr>
                        <w:t>)</w:t>
                      </w:r>
                    </w:p>
                  </w:txbxContent>
                </v:textbox>
                <w10:wrap anchorx="margin"/>
              </v:rect>
            </w:pict>
          </mc:Fallback>
        </mc:AlternateContent>
      </w:r>
    </w:p>
    <w:p w14:paraId="2ABB4106" w14:textId="77777777" w:rsidR="009963EC" w:rsidRDefault="009963EC" w:rsidP="002B358B">
      <w:pPr>
        <w:spacing w:line="360" w:lineRule="auto"/>
        <w:jc w:val="both"/>
        <w:rPr>
          <w:rFonts w:eastAsia="Calibri"/>
          <w:b/>
          <w:bCs/>
          <w:color w:val="000000" w:themeColor="text1"/>
          <w:sz w:val="22"/>
          <w:szCs w:val="22"/>
        </w:rPr>
      </w:pPr>
    </w:p>
    <w:p w14:paraId="40C6A612" w14:textId="77777777" w:rsidR="009963EC" w:rsidRDefault="009963EC" w:rsidP="002B358B">
      <w:pPr>
        <w:spacing w:line="360" w:lineRule="auto"/>
        <w:jc w:val="both"/>
        <w:rPr>
          <w:rFonts w:eastAsia="Calibri"/>
          <w:b/>
          <w:bCs/>
          <w:color w:val="000000" w:themeColor="text1"/>
          <w:sz w:val="22"/>
          <w:szCs w:val="22"/>
        </w:rPr>
      </w:pPr>
    </w:p>
    <w:p w14:paraId="0E333E69" w14:textId="77777777" w:rsidR="001D11F6" w:rsidRDefault="001D11F6" w:rsidP="002B358B">
      <w:pPr>
        <w:spacing w:line="360" w:lineRule="auto"/>
        <w:jc w:val="both"/>
        <w:rPr>
          <w:rFonts w:eastAsia="Calibri"/>
          <w:b/>
          <w:bCs/>
          <w:color w:val="000000" w:themeColor="text1"/>
          <w:sz w:val="22"/>
          <w:szCs w:val="22"/>
        </w:rPr>
      </w:pPr>
    </w:p>
    <w:p w14:paraId="1333A257" w14:textId="53B2D21B" w:rsidR="006E5540" w:rsidRPr="00BE2000" w:rsidRDefault="00804937" w:rsidP="002B358B">
      <w:pPr>
        <w:spacing w:line="360" w:lineRule="auto"/>
        <w:jc w:val="both"/>
        <w:rPr>
          <w:rFonts w:eastAsia="Calibri"/>
          <w:b/>
          <w:bCs/>
          <w:color w:val="000000" w:themeColor="text1"/>
          <w:sz w:val="22"/>
          <w:szCs w:val="22"/>
        </w:rPr>
      </w:pPr>
      <w:r>
        <w:rPr>
          <w:rFonts w:eastAsia="Calibri"/>
          <w:b/>
          <w:bCs/>
          <w:color w:val="000000" w:themeColor="text1"/>
          <w:sz w:val="22"/>
          <w:szCs w:val="22"/>
        </w:rPr>
        <w:t>Figure</w:t>
      </w:r>
      <w:r w:rsidR="002B358B">
        <w:rPr>
          <w:rFonts w:eastAsia="Calibri"/>
          <w:b/>
          <w:bCs/>
          <w:color w:val="000000" w:themeColor="text1"/>
          <w:sz w:val="22"/>
          <w:szCs w:val="22"/>
        </w:rPr>
        <w:t>2</w:t>
      </w:r>
      <w:r w:rsidR="00AC77EF">
        <w:rPr>
          <w:rFonts w:eastAsia="Calibri"/>
          <w:b/>
          <w:bCs/>
          <w:color w:val="000000" w:themeColor="text1"/>
          <w:sz w:val="22"/>
          <w:szCs w:val="22"/>
        </w:rPr>
        <w:t>.</w:t>
      </w:r>
      <w:r>
        <w:rPr>
          <w:rFonts w:eastAsia="Calibri"/>
          <w:b/>
          <w:bCs/>
          <w:color w:val="000000" w:themeColor="text1"/>
          <w:sz w:val="22"/>
          <w:szCs w:val="22"/>
        </w:rPr>
        <w:t xml:space="preserve"> 1 Conceptual framework</w:t>
      </w:r>
    </w:p>
    <w:p w14:paraId="24954591" w14:textId="77777777" w:rsidR="009963EC" w:rsidRPr="009963EC" w:rsidRDefault="009963EC" w:rsidP="009963EC">
      <w:pPr>
        <w:rPr>
          <w:lang w:val="en-GB" w:eastAsia="en-US"/>
        </w:rPr>
      </w:pPr>
      <w:bookmarkStart w:id="51" w:name="_Toc215652882"/>
    </w:p>
    <w:p w14:paraId="4D37FD7A" w14:textId="30D84035" w:rsidR="00B77685" w:rsidRDefault="00B77685" w:rsidP="00394501">
      <w:pPr>
        <w:pStyle w:val="Heading2"/>
      </w:pPr>
      <w:r>
        <w:lastRenderedPageBreak/>
        <w:t>2.3 Theoretical framework</w:t>
      </w:r>
    </w:p>
    <w:p w14:paraId="3C0D59B0" w14:textId="2E636B0B" w:rsidR="00B77685" w:rsidRDefault="00B77685" w:rsidP="006E68CD">
      <w:pPr>
        <w:pStyle w:val="NormalWeb"/>
        <w:spacing w:line="360" w:lineRule="auto"/>
        <w:jc w:val="both"/>
      </w:pPr>
      <w:r>
        <w:t xml:space="preserve">This study is guided by </w:t>
      </w:r>
      <w:r w:rsidRPr="00B77685">
        <w:rPr>
          <w:rStyle w:val="Strong"/>
          <w:rFonts w:eastAsiaTheme="majorEastAsia"/>
          <w:b w:val="0"/>
          <w:bCs w:val="0"/>
        </w:rPr>
        <w:t>Risk Assessment Theory</w:t>
      </w:r>
      <w:r>
        <w:t xml:space="preserve"> and </w:t>
      </w:r>
      <w:r w:rsidRPr="00B77685">
        <w:rPr>
          <w:rStyle w:val="Strong"/>
          <w:rFonts w:eastAsiaTheme="majorEastAsia"/>
          <w:b w:val="0"/>
          <w:bCs w:val="0"/>
        </w:rPr>
        <w:t>Urban Resilience Theory</w:t>
      </w:r>
      <w:r w:rsidRPr="00B77685">
        <w:rPr>
          <w:b/>
          <w:bCs/>
        </w:rPr>
        <w:t>,</w:t>
      </w:r>
      <w:r>
        <w:t xml:space="preserve"> which together provide a structured basis for analysing urban fire hazards. </w:t>
      </w:r>
      <w:r w:rsidRPr="00B77685">
        <w:rPr>
          <w:rStyle w:val="Strong"/>
          <w:rFonts w:eastAsiaTheme="majorEastAsia"/>
          <w:b w:val="0"/>
          <w:bCs w:val="0"/>
        </w:rPr>
        <w:t>Risk Assessment Theory</w:t>
      </w:r>
      <w:r>
        <w:t xml:space="preserve"> conceptualises disaster risk as a function of </w:t>
      </w:r>
      <w:r w:rsidRPr="00B77685">
        <w:rPr>
          <w:rStyle w:val="Strong"/>
          <w:rFonts w:eastAsiaTheme="majorEastAsia"/>
          <w:b w:val="0"/>
          <w:bCs w:val="0"/>
        </w:rPr>
        <w:t>hazard, exposure, and vulnerability</w:t>
      </w:r>
      <w:r>
        <w:t xml:space="preserve"> (Dewan, 2013). Within this framework, fire risk arises from the interaction between ignition sources and fire-prone conditions (hazard), the presence of people and assets in affected areas (exposure), and their susceptibility to damage (vulnerability). This theory supports systematic analysis through hazard identification, exposure mapping, and vulnerability assessment, enabling the estimation of potential fire impacts and prioritisation of risk reduction measures (Bacciu et al., 2022; Galderisi &amp; Limongi, 2021).</w:t>
      </w:r>
    </w:p>
    <w:p w14:paraId="331039F7" w14:textId="3B36E1FD" w:rsidR="00B77685" w:rsidRDefault="00B77685" w:rsidP="006E68CD">
      <w:pPr>
        <w:pStyle w:val="NormalWeb"/>
        <w:spacing w:line="360" w:lineRule="auto"/>
        <w:jc w:val="both"/>
      </w:pPr>
      <w:r>
        <w:t xml:space="preserve">Complementing this, </w:t>
      </w:r>
      <w:r w:rsidRPr="00B77685">
        <w:rPr>
          <w:rStyle w:val="Strong"/>
          <w:rFonts w:eastAsiaTheme="majorEastAsia"/>
          <w:b w:val="0"/>
          <w:bCs w:val="0"/>
        </w:rPr>
        <w:t>Urban Resilience Theory</w:t>
      </w:r>
      <w:r>
        <w:t xml:space="preserve"> emphasises the capacity of urban systems to </w:t>
      </w:r>
      <w:r w:rsidRPr="00B77685">
        <w:rPr>
          <w:rStyle w:val="Strong"/>
          <w:rFonts w:eastAsiaTheme="majorEastAsia"/>
          <w:b w:val="0"/>
          <w:bCs w:val="0"/>
        </w:rPr>
        <w:t>withstand, respond to, and recover from disturbances</w:t>
      </w:r>
      <w:r>
        <w:t xml:space="preserve"> such as fire incidents. It highlights key dimensions of coping capacity, including robustness, redundancy, resourcefulness, and rapidity (Karman, 2020; Métais et al., 2022). This perspective shifts the focus from risk identification alone to strengthening systems that reduce losses and enhance recovery. Together, these theories provide an integrated framework for examining the </w:t>
      </w:r>
      <w:r w:rsidRPr="00B77685">
        <w:rPr>
          <w:rStyle w:val="Strong"/>
          <w:rFonts w:eastAsiaTheme="majorEastAsia"/>
          <w:b w:val="0"/>
          <w:bCs w:val="0"/>
        </w:rPr>
        <w:t>determinants, impacts, and management of urban fire risk in Harare</w:t>
      </w:r>
      <w:r>
        <w:t>, linking risk generation processes with response capacity and resilience-building strategies.</w:t>
      </w:r>
    </w:p>
    <w:p w14:paraId="4E6F1297" w14:textId="77777777" w:rsidR="00B77685" w:rsidRPr="00B77685" w:rsidRDefault="00B77685" w:rsidP="00B77685">
      <w:pPr>
        <w:rPr>
          <w:lang w:val="en-GB"/>
        </w:rPr>
      </w:pPr>
    </w:p>
    <w:p w14:paraId="3EE79030" w14:textId="47E473BD" w:rsidR="006E5540" w:rsidRPr="00BE2000" w:rsidRDefault="006E5540" w:rsidP="00394501">
      <w:pPr>
        <w:pStyle w:val="Heading2"/>
      </w:pPr>
      <w:r w:rsidRPr="00BE2000">
        <w:t>2.</w:t>
      </w:r>
      <w:r w:rsidR="00B77685">
        <w:t>4</w:t>
      </w:r>
      <w:r w:rsidRPr="00BE2000">
        <w:t xml:space="preserve"> Causes of Fire Hazards in Urban Areas</w:t>
      </w:r>
      <w:bookmarkEnd w:id="51"/>
    </w:p>
    <w:p w14:paraId="47BD7D2F" w14:textId="69AD908A" w:rsidR="00754CEE" w:rsidRDefault="00754CEE" w:rsidP="00754CEE">
      <w:pPr>
        <w:spacing w:line="360" w:lineRule="auto"/>
        <w:jc w:val="both"/>
      </w:pPr>
      <w:r w:rsidRPr="000912EC">
        <w:t xml:space="preserve">Global urban areas face diverse fire threats arising from the interaction of ageing infrastructure, construction materials, economic activities, land-use patterns, and environmental conditions. This section examines fire hazards across seven sectors residential, commercial, industrial, market, home industry, waste (dump) fires, and veld (savanna) fires—using a funnel approach that progresses from the Global North to the SADC region and finally to Harare, Zimbabwe. </w:t>
      </w:r>
      <w:r w:rsidRPr="000912EC">
        <w:br/>
      </w:r>
      <w:r w:rsidRPr="000912EC">
        <w:br/>
        <w:t>Residential</w:t>
      </w:r>
      <w:r>
        <w:t xml:space="preserve"> </w:t>
      </w:r>
      <w:r w:rsidRPr="000912EC">
        <w:t>fires</w:t>
      </w:r>
      <w:r>
        <w:t xml:space="preserve">: </w:t>
      </w:r>
      <w:r w:rsidRPr="000912EC">
        <w:t>In the Global North, residential fires are primarily associated with electrical malfunctions, defective appliances, space heaters, cooking activities, and unattended candles. Despite strong building regulations and widespread fire protection systems, risks remain among vulnerable populations. The Twin Parks fire in New York (2022) and the Grenfell Tower fire in London (2017) highlight these vulnerabilities.</w:t>
      </w:r>
      <w:r>
        <w:t xml:space="preserve"> </w:t>
      </w:r>
      <w:r w:rsidRPr="000912EC">
        <w:t xml:space="preserve">Within the SADC region, residential fire risks are </w:t>
      </w:r>
      <w:r w:rsidRPr="000912EC">
        <w:lastRenderedPageBreak/>
        <w:t>strongly influenced by infrastructure deficiencies, illegal electrical connections, overloaded circuits, and combustible building materials. In Harare, fires in Kuwadzana Phase 3 during October 2024 demonstrated the growing impact of electrical faults. Limited fire stations, delayed response times, and inadequate smoke alarm usage continue to increase vulnerability.</w:t>
      </w:r>
    </w:p>
    <w:p w14:paraId="6040C7F7" w14:textId="04A17B45" w:rsidR="00754CEE" w:rsidRDefault="00754CEE" w:rsidP="00754CEE">
      <w:pPr>
        <w:spacing w:line="360" w:lineRule="auto"/>
        <w:jc w:val="both"/>
      </w:pPr>
      <w:r w:rsidRPr="000912EC">
        <w:br/>
        <w:t>Commercial fires</w:t>
      </w:r>
      <w:r>
        <w:t xml:space="preserve">: </w:t>
      </w:r>
      <w:r w:rsidRPr="000912EC">
        <w:t>Commercial fires in the Global North commonly originate from commercial kitchens, electrical failures, and poorly maintained suppression systems. Dense urban development can complicate evacuation and firefighting.</w:t>
      </w:r>
      <w:r>
        <w:t xml:space="preserve"> </w:t>
      </w:r>
      <w:r w:rsidRPr="000912EC">
        <w:t>In the SADC region, informal business operations, unsafe electrical installations, and poor storage practices significantly increase fire risks. In Harare, a major shopping mall fire at Julius Nyerere Way and Speke Avenue highlighted the consequences of increasing commercial densification and inadequate fire safety measures.</w:t>
      </w:r>
    </w:p>
    <w:p w14:paraId="42F1CDE8" w14:textId="205C36FA" w:rsidR="00754CEE" w:rsidRDefault="00754CEE" w:rsidP="00754CEE">
      <w:pPr>
        <w:spacing w:line="360" w:lineRule="auto"/>
        <w:jc w:val="both"/>
      </w:pPr>
    </w:p>
    <w:p w14:paraId="160D1A87" w14:textId="3E5E1587" w:rsidR="00754CEE" w:rsidRDefault="00754CEE" w:rsidP="00754CEE">
      <w:pPr>
        <w:spacing w:line="360" w:lineRule="auto"/>
        <w:jc w:val="both"/>
      </w:pPr>
      <w:r w:rsidRPr="000912EC">
        <w:t>Industrial Fires</w:t>
      </w:r>
      <w:r>
        <w:t xml:space="preserve">: </w:t>
      </w:r>
      <w:r w:rsidRPr="000912EC">
        <w:t>Industrial fires in the Global North are linked to chemical processing, flammable liquid storage, and equipment failures. Effective mitigation relies on advanced fire protection systems and strict regulatory compliance.</w:t>
      </w:r>
      <w:r>
        <w:t xml:space="preserve"> </w:t>
      </w:r>
      <w:r w:rsidRPr="000912EC">
        <w:t>In the SADC region, inadequate storage practices, poor maintenance, and weak regulatory enforcement heighten industrial fire risks. Harare has experienced major incidents including the 2016 Graniteside ethanol storage fire and the Paramount Garment Works fire, which exposed deficiencies in fire detection and suppression systems.</w:t>
      </w:r>
    </w:p>
    <w:p w14:paraId="3F089BE8" w14:textId="272C22C0" w:rsidR="00754CEE" w:rsidRDefault="00754CEE" w:rsidP="00754CEE">
      <w:pPr>
        <w:spacing w:line="360" w:lineRule="auto"/>
        <w:jc w:val="both"/>
      </w:pPr>
      <w:r w:rsidRPr="000912EC">
        <w:br/>
        <w:t>Market fires</w:t>
      </w:r>
      <w:r>
        <w:t xml:space="preserve">: </w:t>
      </w:r>
      <w:r w:rsidRPr="000912EC">
        <w:t>Globally, market fires are associated with overcrowding, electrical faults, and gas cylinder use. Developed countries mitigate these risks through inspections, fire-retardant materials, and accessible firefighting equipment.</w:t>
      </w:r>
      <w:r>
        <w:t xml:space="preserve"> </w:t>
      </w:r>
      <w:r w:rsidRPr="000912EC">
        <w:t>In SADC countries, informal market structures and poor compliance with fire safety regulations increase vulnerability. The October 2024 Mbare Musika fire demonstrated the impact of congested layouts, inadequate fire safety measures, and restricted emergency access.</w:t>
      </w:r>
    </w:p>
    <w:p w14:paraId="0A1C6EC6" w14:textId="4B297F76" w:rsidR="00754CEE" w:rsidRDefault="00754CEE" w:rsidP="00754CEE">
      <w:pPr>
        <w:spacing w:line="360" w:lineRule="auto"/>
        <w:jc w:val="both"/>
      </w:pPr>
      <w:r w:rsidRPr="000912EC">
        <w:br/>
        <w:t>Home industry fires</w:t>
      </w:r>
      <w:r>
        <w:t xml:space="preserve">: </w:t>
      </w:r>
      <w:r w:rsidRPr="000912EC">
        <w:t>Home-based industries face risks from faulty electrical systems, open flames, poor housekeeping, and inadequate ventilation. In SADC countries, informal operations and limited regulation exacerbate these hazards.</w:t>
      </w:r>
      <w:r>
        <w:t xml:space="preserve"> </w:t>
      </w:r>
      <w:r w:rsidRPr="000912EC">
        <w:t>In Harare, recurring fires at the Glen View home industry complex have disrupted livelihoods and highlighted the need for improved electrical safety, fire protection equipment, and community-based fire safety programmes.</w:t>
      </w:r>
    </w:p>
    <w:p w14:paraId="4342E708" w14:textId="20B82A17" w:rsidR="00754CEE" w:rsidRDefault="00754CEE" w:rsidP="00754CEE">
      <w:pPr>
        <w:spacing w:line="360" w:lineRule="auto"/>
        <w:jc w:val="both"/>
      </w:pPr>
      <w:r w:rsidRPr="000912EC">
        <w:lastRenderedPageBreak/>
        <w:br/>
        <w:t>Waste (dump) fires</w:t>
      </w:r>
      <w:r>
        <w:t xml:space="preserve">: </w:t>
      </w:r>
      <w:r w:rsidRPr="000912EC">
        <w:t>Waste fires globally may result from arson, spontaneous combustion, or smouldering waste, causing environmental and health impacts. In the SADC region, open dumping and uncontrolled waste burning remain common.</w:t>
      </w:r>
      <w:r>
        <w:t xml:space="preserve"> </w:t>
      </w:r>
      <w:r w:rsidRPr="000912EC">
        <w:t>The Pomona dumpsite fire in Harare in 2016 illustrated the risks associated with poor waste management, limited firefighting resources, and prolonged smoke exposure to surrounding communities.</w:t>
      </w:r>
    </w:p>
    <w:p w14:paraId="73988B8D" w14:textId="393066A1" w:rsidR="00754CEE" w:rsidRDefault="00754CEE" w:rsidP="00754CEE">
      <w:pPr>
        <w:spacing w:line="360" w:lineRule="auto"/>
        <w:jc w:val="both"/>
      </w:pPr>
      <w:r w:rsidRPr="000912EC">
        <w:br/>
        <w:t>Veld (savanna) fires</w:t>
      </w:r>
      <w:r>
        <w:t xml:space="preserve">: </w:t>
      </w:r>
      <w:r w:rsidRPr="000912EC">
        <w:t>In the Global North, wildland fires commonly occur at the wildland–urban interface and are managed through integrated fire management strategies.</w:t>
      </w:r>
      <w:r>
        <w:t xml:space="preserve"> </w:t>
      </w:r>
      <w:r w:rsidRPr="000912EC">
        <w:t>Across the SADC region, veld fires are seasonal and frequently linked to agricultural practices, dry weather, and strong winds. In Harare, recurring fires at Ingwe Farm demonstrate the interaction of climate conditions, urban expansion, and human activities such as land clearing and refuse burning.</w:t>
      </w:r>
    </w:p>
    <w:p w14:paraId="239CA2A8" w14:textId="77777777" w:rsidR="006E5540" w:rsidRPr="00BE2000" w:rsidRDefault="006E5540" w:rsidP="002B358B">
      <w:pPr>
        <w:spacing w:line="360" w:lineRule="auto"/>
        <w:jc w:val="both"/>
        <w:rPr>
          <w:b/>
          <w:bCs/>
          <w:color w:val="000000" w:themeColor="text1"/>
        </w:rPr>
      </w:pPr>
    </w:p>
    <w:p w14:paraId="4B18BCFB" w14:textId="77777777" w:rsidR="006E5540" w:rsidRPr="00BE2000" w:rsidRDefault="006E5540" w:rsidP="002B358B">
      <w:pPr>
        <w:pStyle w:val="Heading3"/>
        <w:jc w:val="both"/>
      </w:pPr>
      <w:bookmarkStart w:id="52" w:name="_Toc215652883"/>
      <w:r w:rsidRPr="00BE2000">
        <w:t>2.3.1 Key factors facilitating urban fire hazards across contexts</w:t>
      </w:r>
      <w:bookmarkEnd w:id="52"/>
    </w:p>
    <w:p w14:paraId="0F16BAA2" w14:textId="77777777" w:rsidR="006E5540" w:rsidRPr="00BE2000" w:rsidRDefault="006E5540" w:rsidP="002B358B">
      <w:pPr>
        <w:spacing w:line="360" w:lineRule="auto"/>
        <w:jc w:val="both"/>
        <w:rPr>
          <w:color w:val="000000" w:themeColor="text1"/>
        </w:rPr>
      </w:pPr>
      <w:r w:rsidRPr="00BE2000">
        <w:rPr>
          <w:color w:val="000000" w:themeColor="text1"/>
        </w:rPr>
        <w:t xml:space="preserve">Various factors regularly impact urban fire danger across the Global North, SADC, and Harare. The aging of electrical infrastructure, unlawful connections, and overloaded circuits increase the risk of igniting, whereas improving grids and formalizing connections can mitigate hazards (Masimba &amp; Walnycki, 2024). Access and infrastructural obstacles, including narrow streets, obstructed hydrants, inadequate water supply, and restricted entry, hinder firefighting efforts and post-fire recovery. Flammable building materials such as thatch, lumber, and plastics promote rapid fire spread and significant heat release (Matamanda et al, 2022). Indicators of fire safety culture—restricted smoke alarm implementation, inadequate training, and sporadic inspections—compromise early detection and containment (Masimba &amp; Walnycki, 2024). The capability for fire response is contingent upon resource availability and the accessibility of responders, which affects response times and outcomes (Siddiqua et al, 2022). Waste management methods, such as open dumping and incorrect disposal, generate ignition sources and facilitate ember-driven spread into populated areas (Jakhar et al., 2023).    </w:t>
      </w:r>
    </w:p>
    <w:p w14:paraId="7E8AA414" w14:textId="12C549BA" w:rsidR="006E5540" w:rsidRPr="00BE2000" w:rsidRDefault="006E5540" w:rsidP="002B358B">
      <w:pPr>
        <w:spacing w:line="360" w:lineRule="auto"/>
        <w:jc w:val="both"/>
        <w:rPr>
          <w:color w:val="000000" w:themeColor="text1"/>
        </w:rPr>
      </w:pPr>
    </w:p>
    <w:p w14:paraId="27C59724" w14:textId="77777777" w:rsidR="006E5540" w:rsidRPr="00BE2000" w:rsidRDefault="006E5540" w:rsidP="00394501">
      <w:pPr>
        <w:pStyle w:val="Heading2"/>
      </w:pPr>
      <w:bookmarkStart w:id="53" w:name="_Toc215652884"/>
      <w:r w:rsidRPr="00BE2000">
        <w:t>2.4 Impacts of Fire Hazards in Urban Harare</w:t>
      </w:r>
      <w:bookmarkEnd w:id="53"/>
    </w:p>
    <w:p w14:paraId="62440DED" w14:textId="77777777" w:rsidR="006E5540" w:rsidRPr="00BE2000" w:rsidRDefault="006E5540" w:rsidP="002B358B">
      <w:pPr>
        <w:spacing w:line="360" w:lineRule="auto"/>
        <w:jc w:val="both"/>
        <w:rPr>
          <w:color w:val="000000" w:themeColor="text1"/>
        </w:rPr>
      </w:pPr>
      <w:r w:rsidRPr="00BE2000">
        <w:rPr>
          <w:color w:val="000000" w:themeColor="text1"/>
        </w:rPr>
        <w:t xml:space="preserve">Fire hazards in metropolitan Harare, Zimbabwe, present in several forms that collectively influence the experiences of citizens, the operations of enterprises, and the functionality of </w:t>
      </w:r>
      <w:r w:rsidRPr="00BE2000">
        <w:rPr>
          <w:color w:val="000000" w:themeColor="text1"/>
        </w:rPr>
        <w:lastRenderedPageBreak/>
        <w:t>municipal systems (Masimba &amp; Walnycki, 2024). This section consolidates the human, economic, infrastructural, environmental, social, and governance repercussions linked to seven fire contexts: residential, commercial, industrial, market, home-industry, dump (waste) fires, and veld (open) fires. Although particular numbers for Harare may be scarce, the discourse utilizes extensive urban fire research and sub-Saharan African resilience literature to elucidate patterns, risk factors, and possible avenues for governance and resilience (Masimba &amp; Walnycki, 2024).</w:t>
      </w:r>
    </w:p>
    <w:p w14:paraId="67D732BC" w14:textId="78BA46FA" w:rsidR="006E5540" w:rsidRPr="00BE2000" w:rsidRDefault="006E5540" w:rsidP="002B358B">
      <w:pPr>
        <w:spacing w:line="360" w:lineRule="auto"/>
        <w:jc w:val="both"/>
        <w:rPr>
          <w:color w:val="000000" w:themeColor="text1"/>
        </w:rPr>
      </w:pPr>
      <w:r w:rsidRPr="00BE2000">
        <w:rPr>
          <w:color w:val="000000" w:themeColor="text1"/>
        </w:rPr>
        <w:t xml:space="preserve">Residential fires generally cause direct injury to individuals and trigger subsequent repercussions for families and communities. Casualties and injuries affect several age demographics, with children, the elderly, and individuals with impairments facing heightened risks due to restricted escape routes, delayed identification, and the high density of houses in informal settlements (Zerbo et al., 2020). In addition to fatalities and physical injuries, fires cause displacement, forcing families to seek temporary </w:t>
      </w:r>
      <w:r w:rsidR="002B358B" w:rsidRPr="00BE2000">
        <w:rPr>
          <w:color w:val="000000" w:themeColor="text1"/>
        </w:rPr>
        <w:t>accommodation</w:t>
      </w:r>
      <w:r w:rsidRPr="00BE2000">
        <w:rPr>
          <w:color w:val="000000" w:themeColor="text1"/>
        </w:rPr>
        <w:t xml:space="preserve">, depend on assistance networks, or move to regions considered as safer. Two fire events occurred one week apart in October 2024 at Kuwadzana Phase 3 resulted in the total loss of residences (Harare Fire Brigade, 2024). The emotional impact of loss, anxiety, and possibly intergenerational trauma endures long after the fires are quenched (Hatchimonji et al., 2022). The economic consequences are significant: the devastation of housing and valued possessions, documents, and essential household items; the necessity for temporary housing, clothing, educational materials, and other fundamental needs can drive families into debt and exacerbate poverty, particularly when insurance coverage is inadequate or premiums increase subsequently (Abrar et al., 2025). A fire in January 2025 obliterated a residence in Avondale West, Harare, rendering a widow and her three-year-old grandson homeless (Harare fire brigade, 2025). Infrastructural impacts encompass damage to electrical wires, gas pipelines, and plumbing systems, hence increasing the likelihood of subsequent fires or explosions and complicating the recovery process. Disruptions in water supply and overburdened emergency services exacerbate the vulnerability of the impacted areas, while utility interruptions hinder public health initiatives and daily activities (Naser &amp; Kodur, 2025). The environmental concerns focus on the deterioration of air quality due to smoke and the emission of toxins from synthetic interior materials, necessitating meticulous removal of hazardous waste from incinerated contents (Kim et al., 2023). Residential fires impose pressure on municipal shelters and social services, potentially disrupting neighborhood dynamics and exacerbating concerns regarding home safety and urban inequities. Governance responsibilities escalate following such catastrophes, including post-disaster </w:t>
      </w:r>
      <w:r w:rsidRPr="00BE2000">
        <w:rPr>
          <w:color w:val="000000" w:themeColor="text1"/>
        </w:rPr>
        <w:lastRenderedPageBreak/>
        <w:t>assistance coordination, housing reconstruction strategies, and enhanced safety regulation of housing inventory, including informal settlements (Liao et al., 2024).</w:t>
      </w:r>
    </w:p>
    <w:p w14:paraId="45C236E1" w14:textId="16A3CB4B" w:rsidR="006E5540" w:rsidRPr="00BE2000" w:rsidRDefault="006E5540" w:rsidP="002B358B">
      <w:pPr>
        <w:spacing w:line="360" w:lineRule="auto"/>
        <w:jc w:val="both"/>
        <w:rPr>
          <w:color w:val="000000" w:themeColor="text1"/>
        </w:rPr>
      </w:pPr>
      <w:r w:rsidRPr="00BE2000">
        <w:rPr>
          <w:color w:val="000000" w:themeColor="text1"/>
        </w:rPr>
        <w:t xml:space="preserve">Commercial fires exhibit analogous trends regarding human safety and economic disruption. Immediate human consequences encompass injuries or fatalities among employees, patrons, and bystanders, with heightened risks during high business hours (Zerbo et al., 2020). Evacuations and operational disruptions impact employment and consumer access, with informal and part-time workers frequently experiencing increased vulnerability (Hatchimonji et al., 2022). The economic impact is significant: loss of goods, equipment, and facilities; business disruption diminishes cash flow, potentially leading to layoffs, closures, or bankruptcy (Abrar et al., 2025). A fire in a shopping center located at the junction of Julius Nyerere and Speke Avenue, opposite Joina City, caused significant </w:t>
      </w:r>
      <w:r w:rsidR="002B358B" w:rsidRPr="00BE2000">
        <w:rPr>
          <w:color w:val="000000" w:themeColor="text1"/>
        </w:rPr>
        <w:t>damage</w:t>
      </w:r>
      <w:r w:rsidRPr="00BE2000">
        <w:rPr>
          <w:color w:val="000000" w:themeColor="text1"/>
        </w:rPr>
        <w:t xml:space="preserve">, destroying goods worth thousands of dollars (Freddy, 2024). The expenses of reconstruction and insurance claims exacerbate financial strain, while regulatory elements like licenses or permits may be compromised or postponed (Wandabwa et al., 2025). Infrastructural impacts encompass damage to common walls, electrical systems, and communication networks, hindering suppression attempts and prolonged operations (Naser &amp; Kodur, 2025). Environmental issues encompass smoke plumes diminishing air quality, potential pollution from firefighting </w:t>
      </w:r>
      <w:r w:rsidR="002B358B" w:rsidRPr="00BE2000">
        <w:rPr>
          <w:color w:val="000000" w:themeColor="text1"/>
        </w:rPr>
        <w:t>forms</w:t>
      </w:r>
      <w:r w:rsidRPr="00BE2000">
        <w:rPr>
          <w:color w:val="000000" w:themeColor="text1"/>
        </w:rPr>
        <w:t xml:space="preserve"> or cleaning agents, and debris disposal difficulties in densely populated business areas (Kim et al., 2023). The social and governance aspects focus on the repercussions within local supply chains, customer trust, and demands for enhanced enforcement of fire safety regulations, construction codes, and transparency following incidents (Liao et al., 2024). Such incidents also provide chances to enhance urban environments with improved fire barriers, accessible exits, and clearer egress pathways (Kodur et al., 2020). </w:t>
      </w:r>
    </w:p>
    <w:p w14:paraId="46C034BF" w14:textId="77777777" w:rsidR="006E5540" w:rsidRPr="00BE2000" w:rsidRDefault="006E5540" w:rsidP="002B358B">
      <w:pPr>
        <w:spacing w:line="360" w:lineRule="auto"/>
        <w:jc w:val="both"/>
        <w:rPr>
          <w:color w:val="000000" w:themeColor="text1"/>
        </w:rPr>
      </w:pPr>
    </w:p>
    <w:p w14:paraId="56B46983" w14:textId="2E4DC5B8" w:rsidR="006E5540" w:rsidRPr="00BE2000" w:rsidRDefault="006E5540" w:rsidP="002B358B">
      <w:pPr>
        <w:spacing w:line="360" w:lineRule="auto"/>
        <w:jc w:val="both"/>
        <w:rPr>
          <w:color w:val="000000" w:themeColor="text1"/>
        </w:rPr>
      </w:pPr>
      <w:r w:rsidRPr="00BE2000">
        <w:rPr>
          <w:color w:val="000000" w:themeColor="text1"/>
        </w:rPr>
        <w:t xml:space="preserve">Industrial fires are more severe due to the presence of hazardous materials and focused production capabilities (Alkış, et al., 2021). The human cost is heightened for employees subjected to hazardous materials, extreme temperatures, and explosion risks, along with the likelihood of prolonged evacuations and off-site staff relocations (Zerbo et al., 2020). Concerns exist over the wider health implications for responders and adjacent inhabitants, contingent upon the compounds involved and the efficacy of containment measures (Griffiths et al., 2022). On 16 October 2016, three firemen from the City of Harare suffered extensive burns during a fire incident in Graniteside (Harare fire brigade, 2016). Economic losses can be </w:t>
      </w:r>
      <w:r w:rsidR="002B358B" w:rsidRPr="00BE2000">
        <w:rPr>
          <w:color w:val="000000" w:themeColor="text1"/>
        </w:rPr>
        <w:t>devastating</w:t>
      </w:r>
      <w:r w:rsidRPr="00BE2000">
        <w:rPr>
          <w:color w:val="000000" w:themeColor="text1"/>
        </w:rPr>
        <w:t xml:space="preserve"> factory shutdowns, prolonged </w:t>
      </w:r>
      <w:r w:rsidRPr="00BE2000">
        <w:rPr>
          <w:color w:val="000000" w:themeColor="text1"/>
        </w:rPr>
        <w:lastRenderedPageBreak/>
        <w:t xml:space="preserve">production halts, and significant asset destruction that affect regional and national supply chains (Abrar et al., 2025). The fire event on December 8 at Paramount Garment </w:t>
      </w:r>
      <w:r w:rsidR="00257442" w:rsidRPr="00BE2000">
        <w:rPr>
          <w:color w:val="000000" w:themeColor="text1"/>
        </w:rPr>
        <w:t>factory</w:t>
      </w:r>
      <w:r w:rsidRPr="00BE2000">
        <w:rPr>
          <w:color w:val="000000" w:themeColor="text1"/>
        </w:rPr>
        <w:t xml:space="preserve"> in Harare caused millions of dollars in </w:t>
      </w:r>
      <w:r w:rsidR="002B358B" w:rsidRPr="00BE2000">
        <w:rPr>
          <w:color w:val="000000" w:themeColor="text1"/>
        </w:rPr>
        <w:t>damage</w:t>
      </w:r>
      <w:r w:rsidRPr="00BE2000">
        <w:rPr>
          <w:color w:val="000000" w:themeColor="text1"/>
        </w:rPr>
        <w:t xml:space="preserve"> (Ndlovu, 2023). The extended recovery timeline, along with remediation and decontamination expenses, may endure for years (Cvetković et al., 2024). Industrial fires have significant environmental repercussions, since they can emit chemicals, heavy metals, and fuels into the air, soil, and water, requiring continuous monitoring and extensive remediation (Odubo &amp; Kosoe, 2024). The infrastructure surrounding industrial facilities, including roads, pipelines, and rail links, may incur collateral damage that hinders logistics. The implications for governance encompass increased regulatory oversight, sanctions for non-compliance, and an impetus for enhanced industrial safety protocols, superior containment mechanisms, and more effective risk communication with impacted populations (Liao et al., 2024).</w:t>
      </w:r>
    </w:p>
    <w:p w14:paraId="6240B688" w14:textId="77777777" w:rsidR="006E5540" w:rsidRPr="00BE2000" w:rsidRDefault="006E5540" w:rsidP="002B358B">
      <w:pPr>
        <w:spacing w:line="360" w:lineRule="auto"/>
        <w:jc w:val="both"/>
        <w:rPr>
          <w:color w:val="000000" w:themeColor="text1"/>
        </w:rPr>
      </w:pPr>
    </w:p>
    <w:p w14:paraId="67A7677B" w14:textId="3634606C" w:rsidR="006E5540" w:rsidRPr="00BE2000" w:rsidRDefault="006E5540" w:rsidP="002B358B">
      <w:pPr>
        <w:spacing w:line="360" w:lineRule="auto"/>
        <w:jc w:val="both"/>
        <w:rPr>
          <w:color w:val="000000" w:themeColor="text1"/>
        </w:rPr>
      </w:pPr>
      <w:r w:rsidRPr="00BE2000">
        <w:rPr>
          <w:color w:val="000000" w:themeColor="text1"/>
        </w:rPr>
        <w:t xml:space="preserve">Market fires illustrate the susceptibility of both informal and official market centers to swift, high-pressure incidents. </w:t>
      </w:r>
      <w:r w:rsidR="002B358B" w:rsidRPr="00BE2000">
        <w:rPr>
          <w:color w:val="000000" w:themeColor="text1"/>
        </w:rPr>
        <w:t>Human</w:t>
      </w:r>
      <w:r w:rsidRPr="00BE2000">
        <w:rPr>
          <w:color w:val="000000" w:themeColor="text1"/>
        </w:rPr>
        <w:t xml:space="preserve"> repercussions encompass injuries or deaths among traders, workers, and shoppers, as well as displacement and interruption to livelihoods dependent on daily market transactions (Zerbo et al., 2020). The economic impact is immediate, resulting in losses of stalls, commodities, and daily income, along with long-term consequences for market vibrancy, vendor associations, and local economic ecosystems (Abrar et al., 2025). Damage to market </w:t>
      </w:r>
      <w:r w:rsidR="002B358B" w:rsidRPr="00BE2000">
        <w:rPr>
          <w:color w:val="000000" w:themeColor="text1"/>
        </w:rPr>
        <w:t xml:space="preserve">infrastructures </w:t>
      </w:r>
      <w:r w:rsidRPr="00BE2000">
        <w:rPr>
          <w:color w:val="000000" w:themeColor="text1"/>
        </w:rPr>
        <w:t>such as roofing, stalls, drainage, and utilities—can impede rehabilitation and require temporary relocation of merchants (Naser &amp; Kodur, 2025).  Environmental considerations encompass debris production, the risk of fuel or chemical leakage, and smoke impacting adjacent populations (Kim et al., 2023). Governance responses emphasize safety enhancements, refined market structures, and more effective enforcement of fire prevention protocols, whereas social resilience may depend on specialized assistance for informal vendors, access to microfinance, and community-oriented rehabilitation initiatives (Liao et al., 2024).</w:t>
      </w:r>
    </w:p>
    <w:p w14:paraId="1C39BEFD" w14:textId="77777777" w:rsidR="006E5540" w:rsidRPr="00BE2000" w:rsidRDefault="006E5540" w:rsidP="002B358B">
      <w:pPr>
        <w:spacing w:line="360" w:lineRule="auto"/>
        <w:jc w:val="both"/>
        <w:rPr>
          <w:color w:val="000000" w:themeColor="text1"/>
        </w:rPr>
      </w:pPr>
      <w:r w:rsidRPr="00BE2000">
        <w:rPr>
          <w:color w:val="000000" w:themeColor="text1"/>
        </w:rPr>
        <w:t xml:space="preserve">Residential-industrial fires amalgamate domestic and industrial danger elements. Human consequences encompass the exposure of household members and informal workers to hazardous compounds such as solvents, dyes, or adhesives, with the potential for cross-home transmission in densely populated areas (Zerbo et al., 2020). Economic losses encompass the devastation of production equipment, raw materials, and finished products, jeopardizing the livelihoods upon which several households rely (Abrar et al., 2025). Repeated flames at the Glen View Complex </w:t>
      </w:r>
      <w:r w:rsidRPr="00BE2000">
        <w:rPr>
          <w:color w:val="000000" w:themeColor="text1"/>
        </w:rPr>
        <w:lastRenderedPageBreak/>
        <w:t xml:space="preserve">home industry consume groups of improvised workrooms, leading to the devastation of tools, raw materials, and inventories, therefore rendering the day's labor futile (Zhakata, 2025). Infrastructural and environmental impacts encompass damage to utilities, the emergence of secondary dangers, and a potential recurrence of fire risk, in addition to localized pollution resulting from combustion of materials (Naser &amp; Kodur, 2025). Governance concerns focus on reconciling safety regulations with the realities of informal home-based production, encompassing licensing issues, safer material management, and access to safer equipment or communal facilities that mitigate exposure and risk (Liao et al., 2024). </w:t>
      </w:r>
    </w:p>
    <w:p w14:paraId="6E60B990" w14:textId="77777777" w:rsidR="006E5540" w:rsidRPr="00BE2000" w:rsidRDefault="006E5540" w:rsidP="002B358B">
      <w:pPr>
        <w:spacing w:line="360" w:lineRule="auto"/>
        <w:jc w:val="both"/>
        <w:rPr>
          <w:color w:val="000000" w:themeColor="text1"/>
        </w:rPr>
      </w:pPr>
    </w:p>
    <w:p w14:paraId="0FBBB85C" w14:textId="77777777" w:rsidR="006E5540" w:rsidRPr="00BE2000" w:rsidRDefault="006E5540" w:rsidP="002B358B">
      <w:pPr>
        <w:spacing w:line="360" w:lineRule="auto"/>
        <w:jc w:val="both"/>
        <w:rPr>
          <w:color w:val="000000" w:themeColor="text1"/>
        </w:rPr>
      </w:pPr>
      <w:r w:rsidRPr="00BE2000">
        <w:rPr>
          <w:color w:val="000000" w:themeColor="text1"/>
        </w:rPr>
        <w:t>Dump fires provide unique issues associated with trash management and environmental health. Smoke inhalation poses health hazards, especially for vulnerable populations, with the possibility of cross-exposure to adjacent residents and workers (Jakhar et al., 2023). The Pomona dumpsite fire in November 2016 produced clouds of very hazardous smoke that were visible from a distance. Adjacent regions, such as Pomona, Mt Pleasant, Marlborough, Avondale, Avonlea, and Dzivaresekwa, encountered considerable effects (The Standard, Nov. 13, 2016).  The economic and environmental repercussions encompass soil and water pollution from ash, heavy metals, and leachates, undermining ecosystem services and potentially influencing agricultural productivity and property values (Chavan et al., 2022). The infrastructure load encompasses pressure on waste-management personnel, firefighting assets, and traffic disturbances resulting from smoke plumes or access limitations (Dabrowska et al., 2023). The social and governance aspects pertain to public discontent with waste management methods, alongside demands for enhanced dumping regulations, improved monitoring, and investment in safer, more sustainable waste management solutions (Siddiqua et al, 2022). Strategically, the mitigation of dump-fire risk necessitates enhanced waste segregation, the establishment of managed dumpsites, and community-driven waste management programs that reduce ignition sources (Jakhar et al., 2023).</w:t>
      </w:r>
    </w:p>
    <w:p w14:paraId="2F9C5C64" w14:textId="77777777" w:rsidR="006E5540" w:rsidRPr="00BE2000" w:rsidRDefault="006E5540" w:rsidP="002B358B">
      <w:pPr>
        <w:spacing w:line="360" w:lineRule="auto"/>
        <w:jc w:val="both"/>
        <w:rPr>
          <w:color w:val="000000" w:themeColor="text1"/>
        </w:rPr>
      </w:pPr>
    </w:p>
    <w:p w14:paraId="1C91404C" w14:textId="77777777" w:rsidR="006E5540" w:rsidRPr="00BE2000" w:rsidRDefault="006E5540" w:rsidP="002B358B">
      <w:pPr>
        <w:spacing w:line="360" w:lineRule="auto"/>
        <w:jc w:val="both"/>
        <w:rPr>
          <w:color w:val="000000" w:themeColor="text1"/>
        </w:rPr>
      </w:pPr>
      <w:r w:rsidRPr="00BE2000">
        <w:rPr>
          <w:color w:val="000000" w:themeColor="text1"/>
        </w:rPr>
        <w:t xml:space="preserve">Veld or open fires in peri-urban and rural-urban interface environments have implications for urban resilience and environmental stewardship (Kirschner et al., 2023). Human consequences include direct threats to individuals in marginalized communities and wildlife, as well as possible dangers to domestic animals and ecosystem services that support urban resilience, climate regulation, and green infrastructure (Jakhar et al., 2023). The economic and environmental </w:t>
      </w:r>
      <w:r w:rsidRPr="00BE2000">
        <w:rPr>
          <w:color w:val="000000" w:themeColor="text1"/>
        </w:rPr>
        <w:lastRenderedPageBreak/>
        <w:t>implications encompass the destruction of peri-urban vegetation, gardens, and timber resources, adversely affecting urban food security and livelihoods (Chavan et al., 2022). Open fires can diminish air quality across extensive regions and lead to carbon stock depletion and habitat fragmentation, which have enduring consequences for urban sustainability (Lapola et al., 2023). Infrastructural issues encompass the risk of fire propagation to buildings, hence exerting more pressure on firefighting resources and water systems in regions with restricted accessibility (Dabrowska et al., 2023). Governance considerations highlight the importance of integrated land-use planning, readiness for arid seasons, early warning systems, and community-driven preventative activities that connect urban and peri-urban governance (Siddiqua et al, 2022).</w:t>
      </w:r>
    </w:p>
    <w:p w14:paraId="0B5C6088" w14:textId="77777777" w:rsidR="006E5540" w:rsidRPr="00BE2000" w:rsidRDefault="006E5540" w:rsidP="002B358B">
      <w:pPr>
        <w:pStyle w:val="Heading3"/>
        <w:jc w:val="both"/>
      </w:pPr>
    </w:p>
    <w:p w14:paraId="71EFE85E" w14:textId="77777777" w:rsidR="006E5540" w:rsidRPr="00BE2000" w:rsidRDefault="006E5540" w:rsidP="002B358B">
      <w:pPr>
        <w:pStyle w:val="Heading3"/>
        <w:jc w:val="both"/>
      </w:pPr>
      <w:bookmarkStart w:id="54" w:name="_Toc215652885"/>
      <w:r w:rsidRPr="00BE2000">
        <w:rPr>
          <w:bCs/>
        </w:rPr>
        <w:t>2.4.1 Cross-cutting themes for Harare emerge across fire types</w:t>
      </w:r>
      <w:r w:rsidRPr="00BE2000">
        <w:t>.</w:t>
      </w:r>
      <w:bookmarkEnd w:id="54"/>
      <w:r w:rsidRPr="00BE2000">
        <w:t xml:space="preserve"> </w:t>
      </w:r>
    </w:p>
    <w:p w14:paraId="1BB24960" w14:textId="77777777" w:rsidR="006E5540" w:rsidRPr="00BE2000" w:rsidRDefault="006E5540" w:rsidP="002B358B">
      <w:pPr>
        <w:spacing w:line="360" w:lineRule="auto"/>
        <w:jc w:val="both"/>
        <w:rPr>
          <w:color w:val="000000" w:themeColor="text1"/>
        </w:rPr>
      </w:pPr>
      <w:r w:rsidRPr="00BE2000">
        <w:rPr>
          <w:color w:val="000000" w:themeColor="text1"/>
        </w:rPr>
        <w:t>The effectiveness of fire suppression and post-fire recovery is influenced by firefighting capability and urban density, particularly the closeness of informal settlements and the existence of mixed-use structures (Masimba &amp; Walnycki, 2024). Building materials, such as timber and corrugated iron, along with occupancy patterns, affect the propagation of fire and the severity of hazards (Matamanda et al, 2022). Access and urban morphology present tangible limitations. Constricted thoroughfares, disputed rights-of-way, and inadequate hydrant systems can hinder response (Masimba &amp; Walnycki, 2024). Industrial fire brigades, neighborhood watch organizations, and exercises in educational and occupational settings boost resilience, particularly for populations with no official protection (Fisher et al., 2021). Effective waste management and the regulation of igniting sources in markets, dumpsites, and regions next to veld might mitigate the probability or intensity of fires (Jakhar et al., 2023). Policy and governance are pivotal; the enforcement of safety rules, licensing of home businesses, regulation of informal companies, and investment in resilient urban infrastructure are fundamental to prevention and swift recovery (Siddiqua et al, 2022). Climate and weather factors, including arid seasons, wind dynamics, and thermal stress, interact with urban morphology to exacerbate risk, highlighting the necessity of incorporating climate risk into urban planning and disaster preparedness (Liao et al., 2024).</w:t>
      </w:r>
    </w:p>
    <w:p w14:paraId="21B598A8" w14:textId="77777777" w:rsidR="006E5540" w:rsidRPr="00BE2000" w:rsidRDefault="006E5540" w:rsidP="002B358B">
      <w:pPr>
        <w:spacing w:line="360" w:lineRule="auto"/>
        <w:jc w:val="both"/>
        <w:rPr>
          <w:color w:val="000000" w:themeColor="text1"/>
        </w:rPr>
      </w:pPr>
    </w:p>
    <w:p w14:paraId="4EAE2206" w14:textId="77777777" w:rsidR="006E5540" w:rsidRPr="00BE2000" w:rsidRDefault="006E5540" w:rsidP="00394501">
      <w:pPr>
        <w:pStyle w:val="Heading2"/>
      </w:pPr>
      <w:bookmarkStart w:id="55" w:name="_Toc215652886"/>
      <w:r w:rsidRPr="00BE2000">
        <w:t>2.5 Fire Prevention and Mitigation Measures</w:t>
      </w:r>
      <w:bookmarkEnd w:id="55"/>
      <w:r w:rsidRPr="00BE2000">
        <w:t xml:space="preserve"> </w:t>
      </w:r>
    </w:p>
    <w:p w14:paraId="095C147A" w14:textId="77777777" w:rsidR="006E5540" w:rsidRPr="00BE2000" w:rsidRDefault="006E5540" w:rsidP="002B358B">
      <w:pPr>
        <w:spacing w:line="360" w:lineRule="auto"/>
        <w:jc w:val="both"/>
        <w:rPr>
          <w:color w:val="000000" w:themeColor="text1"/>
        </w:rPr>
      </w:pPr>
      <w:r w:rsidRPr="00BE2000">
        <w:rPr>
          <w:color w:val="000000" w:themeColor="text1"/>
        </w:rPr>
        <w:t xml:space="preserve">The risk of fire is a widespread threat that crosses boundaries, industries, and levels of government (Bacciu et al., 2022). Effective prevention and mitigation necessitate a multi-faceted strategy that </w:t>
      </w:r>
      <w:r w:rsidRPr="00BE2000">
        <w:rPr>
          <w:color w:val="000000" w:themeColor="text1"/>
        </w:rPr>
        <w:lastRenderedPageBreak/>
        <w:t>incorporates global norms, regional collaboration, and local execution. The primary technique to combat fire hazards should be the prevention of fire incidents (Zhang, 2023). Nonetheless, it is often not feasible to entirely prevent fire; thus, the impact of fire should be mitigated either through direct fire management or by safeguarding exposed individuals and materials (Zhang et al., 2023). The prevalent strategy for managing fire and its consequences involves regulating accessible fuel and employing various fire prevention devices installed within a building (Zhakata, 2024). The standard method for handling individuals is to expel them off the premises. Prompt fire detection, timely alerts to inhabitants, and secure escape pathways are crucial for safe evacuation from standard structures (Chatikobo, 2024). This section consolidates current fire prevention and mitigation strategies at the international level, within the Southern African Development Community (SADC) region, and specifically for Harare, Zimbabwe. It examines critical sectors typically impacted by fire, including residential, commercial, industrial, markets, informal industry, dumpsites, and veld fires, and delineates frameworks, practices, and actionable measures that support fire safety and resilience. The analysis utilizes internationally acknowledged standards, regional policy frameworks, and local governance systems.</w:t>
      </w:r>
    </w:p>
    <w:p w14:paraId="2C8A4D0F" w14:textId="77777777" w:rsidR="006E5540" w:rsidRPr="00BE2000" w:rsidRDefault="006E5540" w:rsidP="002B358B">
      <w:pPr>
        <w:spacing w:line="360" w:lineRule="auto"/>
        <w:jc w:val="both"/>
        <w:rPr>
          <w:color w:val="000000" w:themeColor="text1"/>
        </w:rPr>
      </w:pPr>
    </w:p>
    <w:p w14:paraId="50BB0FE4" w14:textId="77777777" w:rsidR="006E5540" w:rsidRPr="00BE2000" w:rsidRDefault="006E5540" w:rsidP="002B358B">
      <w:pPr>
        <w:pStyle w:val="Heading3"/>
        <w:jc w:val="both"/>
      </w:pPr>
      <w:bookmarkStart w:id="56" w:name="_Toc215652887"/>
      <w:r w:rsidRPr="00BE2000">
        <w:t>2.5.1 International level: frameworks, standards, and mechanisms</w:t>
      </w:r>
      <w:bookmarkEnd w:id="56"/>
    </w:p>
    <w:p w14:paraId="335D76B2" w14:textId="77777777" w:rsidR="006E5540" w:rsidRPr="00BE2000" w:rsidRDefault="006E5540">
      <w:pPr>
        <w:pStyle w:val="ListParagraph"/>
        <w:numPr>
          <w:ilvl w:val="0"/>
          <w:numId w:val="4"/>
        </w:numPr>
        <w:spacing w:line="360" w:lineRule="auto"/>
        <w:jc w:val="both"/>
        <w:rPr>
          <w:rFonts w:ascii="Times New Roman" w:hAnsi="Times New Roman" w:cs="Times New Roman"/>
          <w:color w:val="000000" w:themeColor="text1"/>
        </w:rPr>
      </w:pPr>
      <w:r w:rsidRPr="00BE2000">
        <w:rPr>
          <w:rFonts w:ascii="Times New Roman" w:hAnsi="Times New Roman" w:cs="Times New Roman"/>
          <w:color w:val="000000" w:themeColor="text1"/>
        </w:rPr>
        <w:t>Global fire safety initiatives are founded on a synthesis of hazard mitigation, protective architecture, and emergency preparedness (Zhang, 2023). Global directives underscore the importance of comprehending fire hazards, enhancing governance, investing in resilience, and augmenting preparedness. The Sendai Framework for Disaster Risk Reduction serves as a primary reference for formulating national and subnational plans aimed at mitigating disaster losses, including those caused by fire (UNDRR, 2015). International norms impact national procurement, project design, and compliance via established standards and certifications. Prominent international standards and frameworks commonly cited in fire prevention and mitigation encompass the following:</w:t>
      </w:r>
    </w:p>
    <w:p w14:paraId="239F4E7A" w14:textId="77777777" w:rsidR="006E5540" w:rsidRPr="00BE2000" w:rsidRDefault="006E5540" w:rsidP="002B358B">
      <w:pPr>
        <w:pStyle w:val="ListParagraph"/>
        <w:spacing w:line="360" w:lineRule="auto"/>
        <w:jc w:val="both"/>
        <w:rPr>
          <w:rFonts w:ascii="Times New Roman" w:hAnsi="Times New Roman" w:cs="Times New Roman"/>
          <w:color w:val="000000" w:themeColor="text1"/>
        </w:rPr>
      </w:pPr>
    </w:p>
    <w:p w14:paraId="3192608F" w14:textId="77777777" w:rsidR="006E5540" w:rsidRPr="00BE2000" w:rsidRDefault="006E5540">
      <w:pPr>
        <w:pStyle w:val="ListParagraph"/>
        <w:numPr>
          <w:ilvl w:val="0"/>
          <w:numId w:val="6"/>
        </w:numPr>
        <w:spacing w:line="360" w:lineRule="auto"/>
        <w:jc w:val="both"/>
        <w:rPr>
          <w:rFonts w:ascii="Times New Roman" w:hAnsi="Times New Roman" w:cs="Times New Roman"/>
          <w:color w:val="000000" w:themeColor="text1"/>
        </w:rPr>
      </w:pPr>
      <w:r w:rsidRPr="00BE2000">
        <w:rPr>
          <w:rFonts w:ascii="Times New Roman" w:hAnsi="Times New Roman" w:cs="Times New Roman"/>
          <w:color w:val="000000" w:themeColor="text1"/>
        </w:rPr>
        <w:t xml:space="preserve">NFPA codes and standards: The NFPA family offers an extensive array of fire prevention guidelines, encompassing life safety and architectural design (e.g., NFPA 101 Life Safety Code; NFPA 13/25 for sprinkler system design and maintenance). These standards are </w:t>
      </w:r>
      <w:r w:rsidRPr="00BE2000">
        <w:rPr>
          <w:rFonts w:ascii="Times New Roman" w:hAnsi="Times New Roman" w:cs="Times New Roman"/>
          <w:color w:val="000000" w:themeColor="text1"/>
        </w:rPr>
        <w:lastRenderedPageBreak/>
        <w:t>frequently implemented by national adoption or procurement mandates for structures, facilities, and equipment (NFPA, 2024).</w:t>
      </w:r>
    </w:p>
    <w:p w14:paraId="578F174E" w14:textId="77777777" w:rsidR="006E5540" w:rsidRPr="00BE2000" w:rsidRDefault="006E5540">
      <w:pPr>
        <w:pStyle w:val="ListParagraph"/>
        <w:numPr>
          <w:ilvl w:val="0"/>
          <w:numId w:val="6"/>
        </w:numPr>
        <w:spacing w:line="360" w:lineRule="auto"/>
        <w:jc w:val="both"/>
        <w:rPr>
          <w:rFonts w:ascii="Times New Roman" w:hAnsi="Times New Roman" w:cs="Times New Roman"/>
          <w:color w:val="000000" w:themeColor="text1"/>
        </w:rPr>
      </w:pPr>
      <w:r w:rsidRPr="00BE2000">
        <w:rPr>
          <w:rFonts w:ascii="Times New Roman" w:hAnsi="Times New Roman" w:cs="Times New Roman"/>
          <w:color w:val="000000" w:themeColor="text1"/>
        </w:rPr>
        <w:t xml:space="preserve">ISO standards: ISO 45001 (Occupational Health and Safety Management Systems) directs organizational policies for fire safety in workplaces, whereas ISO 22320 emphasizes emergency management and responder coordination, facilitating organized response and recovery (ISO, 2018; ISO, 2018a). </w:t>
      </w:r>
    </w:p>
    <w:p w14:paraId="277DDE82" w14:textId="77777777" w:rsidR="006E5540" w:rsidRPr="00BE2000" w:rsidRDefault="006E5540">
      <w:pPr>
        <w:pStyle w:val="ListParagraph"/>
        <w:numPr>
          <w:ilvl w:val="0"/>
          <w:numId w:val="6"/>
        </w:numPr>
        <w:spacing w:line="360" w:lineRule="auto"/>
        <w:jc w:val="both"/>
        <w:rPr>
          <w:rFonts w:ascii="Times New Roman" w:hAnsi="Times New Roman" w:cs="Times New Roman"/>
          <w:color w:val="000000" w:themeColor="text1"/>
        </w:rPr>
      </w:pPr>
      <w:r w:rsidRPr="00BE2000">
        <w:rPr>
          <w:rFonts w:ascii="Times New Roman" w:hAnsi="Times New Roman" w:cs="Times New Roman"/>
          <w:color w:val="000000" w:themeColor="text1"/>
        </w:rPr>
        <w:t>International Finance Corporation (IFC) performance standards: The IFC guidelines pertain to the management of environmental and social risks, encompassing fire safety aspects in project design and operation, which affect investments in housing, infrastructure, and industrial facilities (IFC, 2016).</w:t>
      </w:r>
    </w:p>
    <w:p w14:paraId="22CDEC88" w14:textId="77777777" w:rsidR="006E5540" w:rsidRPr="00BE2000" w:rsidRDefault="006E5540">
      <w:pPr>
        <w:pStyle w:val="ListParagraph"/>
        <w:numPr>
          <w:ilvl w:val="0"/>
          <w:numId w:val="6"/>
        </w:numPr>
        <w:spacing w:after="0" w:line="360" w:lineRule="auto"/>
        <w:jc w:val="both"/>
        <w:rPr>
          <w:rFonts w:ascii="Times New Roman" w:hAnsi="Times New Roman" w:cs="Times New Roman"/>
          <w:b/>
          <w:bCs/>
          <w:color w:val="000000" w:themeColor="text1"/>
        </w:rPr>
      </w:pPr>
      <w:r w:rsidRPr="00BE2000">
        <w:rPr>
          <w:rFonts w:ascii="Times New Roman" w:hAnsi="Times New Roman" w:cs="Times New Roman"/>
          <w:color w:val="000000" w:themeColor="text1"/>
        </w:rPr>
        <w:t>Climate and risk considerations: The assessments of the Intergovernmental Panel on Climate Change (IPCC) guide long-term risk management, considering the evolving fire regimes in various areas due to climate dynamics; these findings support adaptation financing and resilience initiatives (IPCC, 2021).</w:t>
      </w:r>
    </w:p>
    <w:p w14:paraId="50F7E5F0" w14:textId="77777777" w:rsidR="006E5540" w:rsidRPr="00BE2000" w:rsidRDefault="006E5540" w:rsidP="002B358B">
      <w:pPr>
        <w:spacing w:line="360" w:lineRule="auto"/>
        <w:jc w:val="both"/>
        <w:rPr>
          <w:b/>
          <w:bCs/>
          <w:color w:val="000000" w:themeColor="text1"/>
        </w:rPr>
      </w:pPr>
    </w:p>
    <w:p w14:paraId="513CFB6F" w14:textId="77777777" w:rsidR="006E5540" w:rsidRPr="00BE2000" w:rsidRDefault="006E5540" w:rsidP="002B358B">
      <w:pPr>
        <w:pStyle w:val="Heading3"/>
        <w:jc w:val="both"/>
      </w:pPr>
      <w:bookmarkStart w:id="57" w:name="_Toc215652888"/>
      <w:r w:rsidRPr="00BE2000">
        <w:t>2.5.2 Implications for sectors</w:t>
      </w:r>
      <w:bookmarkEnd w:id="57"/>
    </w:p>
    <w:p w14:paraId="2B86A399" w14:textId="77777777" w:rsidR="006E5540" w:rsidRPr="00BE2000" w:rsidRDefault="006E5540" w:rsidP="002B358B">
      <w:pPr>
        <w:spacing w:line="360" w:lineRule="auto"/>
        <w:jc w:val="both"/>
        <w:rPr>
          <w:color w:val="000000" w:themeColor="text1"/>
        </w:rPr>
      </w:pPr>
      <w:r w:rsidRPr="00BE2000">
        <w:rPr>
          <w:color w:val="000000" w:themeColor="text1"/>
        </w:rPr>
        <w:t>Residential, commercial, and industrial design: Global practices prioritize fire protection engineering principles, including compartmentation, fire-resistance ratings, and safe egress, frequently conforming to NFPA and ISO standards integrated into international aid, financing, and supply chains; these principles are essential for mitigating fire hazards and safeguarding occupant safety. (Liao et al., 2024)</w:t>
      </w:r>
    </w:p>
    <w:p w14:paraId="673EE8FD" w14:textId="77777777" w:rsidR="006E5540" w:rsidRPr="00BE2000" w:rsidRDefault="006E5540" w:rsidP="002B358B">
      <w:pPr>
        <w:spacing w:line="360" w:lineRule="auto"/>
        <w:jc w:val="both"/>
        <w:rPr>
          <w:color w:val="000000" w:themeColor="text1"/>
        </w:rPr>
      </w:pPr>
      <w:r w:rsidRPr="00BE2000">
        <w:rPr>
          <w:color w:val="000000" w:themeColor="text1"/>
        </w:rPr>
        <w:t>Markets and informal sectors: International initiatives often advocate for enhanced stall safety, electrical safety, accessible routes for emergency services, and community-oriented fire risk mitigation, acknowledging the informal economy's susceptibility to fire hazards (Zerbo et al., 2020).</w:t>
      </w:r>
    </w:p>
    <w:p w14:paraId="737D2BE4" w14:textId="77777777" w:rsidR="006E5540" w:rsidRPr="00BE2000" w:rsidRDefault="006E5540" w:rsidP="002B358B">
      <w:pPr>
        <w:spacing w:line="360" w:lineRule="auto"/>
        <w:jc w:val="both"/>
        <w:rPr>
          <w:color w:val="000000" w:themeColor="text1"/>
        </w:rPr>
      </w:pPr>
      <w:r w:rsidRPr="00BE2000">
        <w:rPr>
          <w:color w:val="000000" w:themeColor="text1"/>
        </w:rPr>
        <w:t>Dumpsites and veld fires: Global recommendations promote optimal waste management methods to reduce ignition sources and endorse community involvement and early warning systems to avert and address fires in landfills and wildland interfaces (Jakhar et al., 2023).</w:t>
      </w:r>
    </w:p>
    <w:p w14:paraId="2409BEF1" w14:textId="77777777" w:rsidR="006E5540" w:rsidRPr="00BE2000" w:rsidRDefault="006E5540" w:rsidP="002B358B">
      <w:pPr>
        <w:pStyle w:val="Heading3"/>
        <w:jc w:val="both"/>
      </w:pPr>
      <w:bookmarkStart w:id="58" w:name="_Toc215652889"/>
      <w:r w:rsidRPr="00BE2000">
        <w:lastRenderedPageBreak/>
        <w:t>2.5.3 Regional level: SADC policies, programs, and interoperability</w:t>
      </w:r>
      <w:bookmarkEnd w:id="58"/>
    </w:p>
    <w:p w14:paraId="24EEF9CC" w14:textId="77777777" w:rsidR="006E5540" w:rsidRPr="00BE2000" w:rsidRDefault="006E5540" w:rsidP="002B358B">
      <w:pPr>
        <w:spacing w:line="360" w:lineRule="auto"/>
        <w:jc w:val="both"/>
        <w:rPr>
          <w:color w:val="000000" w:themeColor="text1"/>
        </w:rPr>
      </w:pPr>
      <w:r w:rsidRPr="00BE2000">
        <w:rPr>
          <w:color w:val="000000" w:themeColor="text1"/>
        </w:rPr>
        <w:t>The Southern African Development Community (SADC) establishes regional frameworks to standardize disaster risk management, improve emergency response, and foster resilience. Regional methods encompass catastrophe risk management regulations, cross-border mutual assistance, and climate adaptation strategies that tackle the escalating fire risk resulting from land-use alterations and climate unpredictability.</w:t>
      </w:r>
    </w:p>
    <w:p w14:paraId="7EF1BD34" w14:textId="77777777" w:rsidR="006E5540" w:rsidRPr="00BE2000" w:rsidRDefault="006E5540" w:rsidP="002B358B">
      <w:pPr>
        <w:pStyle w:val="Heading3"/>
        <w:jc w:val="both"/>
      </w:pPr>
      <w:bookmarkStart w:id="59" w:name="_Toc215652890"/>
      <w:r w:rsidRPr="00BE2000">
        <w:t xml:space="preserve">2.5.4 Key regional mechanisms include the </w:t>
      </w:r>
      <w:bookmarkStart w:id="60" w:name="_Hlk212914752"/>
      <w:r w:rsidRPr="00BE2000">
        <w:t>SADC Disaster Risk Management Strategy and Action Plan (DRM SAP)</w:t>
      </w:r>
      <w:bookmarkEnd w:id="59"/>
      <w:bookmarkEnd w:id="60"/>
    </w:p>
    <w:p w14:paraId="1AF479A4" w14:textId="77777777" w:rsidR="006E5540" w:rsidRPr="00BE2000" w:rsidRDefault="006E5540" w:rsidP="002B358B">
      <w:pPr>
        <w:spacing w:line="360" w:lineRule="auto"/>
        <w:jc w:val="both"/>
        <w:rPr>
          <w:color w:val="000000" w:themeColor="text1"/>
        </w:rPr>
      </w:pPr>
      <w:r w:rsidRPr="00BE2000">
        <w:rPr>
          <w:color w:val="000000" w:themeColor="text1"/>
        </w:rPr>
        <w:t>Disaster risk management (DRM) in the region has been reactive and provisional due to shortcomings in risk governance, the establishment of responsive frameworks, constraints in institutional arrangements, insufficient investments in disaster risk reduction (DRR), risk-informed development, and the management of climate change-related knowledge (Vambe et al 2021). The SADC Region has established the SADC Disaster Risk Management Strategy and Action Plan for 2022-2030 to address this concern. The Strategy delineates the necessity for the enhancement of holistic DRM governance frameworks and knowledge management, as well as the optimization and fortification of institutions (Kasimbazi, 2024). The Strategy includes a comprehensive DRM Action Plan and monitoring framework designed to enhance effectiveness in early warning, preparedness, response, recovery, gender equity, urban resilience, environmental management, and climate adaptation, all grounded in the principles and practices of Risk Informed Development (Letebele et al., 2024).</w:t>
      </w:r>
    </w:p>
    <w:p w14:paraId="2FEB44E6" w14:textId="77777777" w:rsidR="006E5540" w:rsidRPr="00BE2000" w:rsidRDefault="006E5540" w:rsidP="002B358B">
      <w:pPr>
        <w:pStyle w:val="Heading3"/>
        <w:jc w:val="both"/>
      </w:pPr>
      <w:bookmarkStart w:id="61" w:name="_Toc215652891"/>
      <w:r w:rsidRPr="00BE2000">
        <w:t>2.5.5 Implications across sectors</w:t>
      </w:r>
      <w:bookmarkEnd w:id="61"/>
    </w:p>
    <w:p w14:paraId="6FBEE77F" w14:textId="1BCF2826" w:rsidR="006E5540" w:rsidRPr="00BE2000" w:rsidRDefault="002B358B" w:rsidP="002B358B">
      <w:pPr>
        <w:spacing w:line="360" w:lineRule="auto"/>
        <w:jc w:val="both"/>
        <w:rPr>
          <w:color w:val="000000" w:themeColor="text1"/>
        </w:rPr>
      </w:pPr>
      <w:r w:rsidRPr="00BE2000">
        <w:rPr>
          <w:color w:val="000000" w:themeColor="text1"/>
        </w:rPr>
        <w:t>DRM</w:t>
      </w:r>
      <w:r w:rsidR="006E5540" w:rsidRPr="00BE2000">
        <w:rPr>
          <w:color w:val="000000" w:themeColor="text1"/>
        </w:rPr>
        <w:t xml:space="preserve"> SAP necessitates the incorporation of fire risk management into overarching governance and planning frameworks. Standardized risk assessments, hazard mapping, and the incorporation of fire risk into municipal development plans facilitate proactive decision-making (Liao et al., 2024). In residential, commercial, and industrial contexts, governance mechanisms—such as licensing, zoning, and construction codes—must align with regional fire safety standards to provide uniform enforcement and mitigate jurisdictional discrepancies (Alkış, et al., 2021). In informal industry and market situations, governance must reconcile safety with inclusive growth, eschewing punitive measures that disadvantage small operators while fostering accessible compliance routes (Naser &amp; Kodur, 2025).  Effective governance of dumpsites and veld fires </w:t>
      </w:r>
      <w:r w:rsidR="006E5540" w:rsidRPr="00BE2000">
        <w:rPr>
          <w:color w:val="000000" w:themeColor="text1"/>
        </w:rPr>
        <w:lastRenderedPageBreak/>
        <w:t>necessitates comprehensive land-use planning, environmental management, and cross-border collaboration due to the transboundary characteristics of certain fire incidents (Jakhar et al., 2023).</w:t>
      </w:r>
    </w:p>
    <w:p w14:paraId="09C3D8F8" w14:textId="77777777" w:rsidR="006E5540" w:rsidRPr="00BE2000" w:rsidRDefault="006E5540" w:rsidP="002B358B">
      <w:pPr>
        <w:spacing w:line="360" w:lineRule="auto"/>
        <w:jc w:val="both"/>
        <w:rPr>
          <w:color w:val="000000" w:themeColor="text1"/>
        </w:rPr>
      </w:pPr>
      <w:r w:rsidRPr="00BE2000">
        <w:rPr>
          <w:color w:val="000000" w:themeColor="text1"/>
        </w:rPr>
        <w:t>Implications of Prevention and Mitigation: Prevention and mitigation are fundamental to the objectives of Disaster Risk Management Strategic Action Plans. Residential fire prevention prioritizes secure electrical wiring, proper fuel storage, and community-based risk mitigation, encompassing fire-resistant housing designs and defensible space principles (Alkış, et al., 2021). Commercial and industrial environments necessitate industry-specific safety regulations, process safety management, and routine inspections to avert ignition sources and fuel-related risks (Zerbo et al., 2020). The informal sector gains from affordable safety equipment and community-oriented risk mitigation programs that are culturally relevant and linguistically accessible (Naser &amp; Kodur, 2025). Market contexts necessitate design attributes that mitigate fire propagation, including sufficient aisle widths and fire barriers, as well as shared firefighting resources (Kim et al., 2023). Fire prevention in dumpsites is enhanced through trash segregation, regulated combustion techniques, and methane management to mitigate ignition risks and emissions (Chavan et al., 2022). Veld fires necessitate preventive strategies like controlled burns, firebreaks, and community education regarding seasonal fire hazards (Dabrowska et al., 2023). In various circumstances, climate variability and fuel load management are essential for decreasing ignition probability and fire intensity (Liao et al., 2024).</w:t>
      </w:r>
    </w:p>
    <w:p w14:paraId="39674FE0" w14:textId="77777777" w:rsidR="006E5540" w:rsidRPr="00BE2000" w:rsidRDefault="006E5540" w:rsidP="002B358B">
      <w:pPr>
        <w:pStyle w:val="Heading3"/>
        <w:jc w:val="both"/>
      </w:pPr>
      <w:bookmarkStart w:id="62" w:name="_Toc215652892"/>
      <w:r w:rsidRPr="00BE2000">
        <w:t>2.5.6 Harare (city-level measures in Zimbabwe): governance, sectors, and practical actions</w:t>
      </w:r>
      <w:bookmarkEnd w:id="62"/>
    </w:p>
    <w:p w14:paraId="4B701D8A" w14:textId="77777777" w:rsidR="006E5540" w:rsidRPr="00BE2000" w:rsidRDefault="006E5540">
      <w:pPr>
        <w:pStyle w:val="ListParagraph"/>
        <w:numPr>
          <w:ilvl w:val="0"/>
          <w:numId w:val="5"/>
        </w:numPr>
        <w:spacing w:line="360" w:lineRule="auto"/>
        <w:jc w:val="both"/>
        <w:rPr>
          <w:rFonts w:ascii="Times New Roman" w:hAnsi="Times New Roman" w:cs="Times New Roman"/>
          <w:color w:val="000000" w:themeColor="text1"/>
        </w:rPr>
      </w:pPr>
      <w:r w:rsidRPr="00BE2000">
        <w:rPr>
          <w:rFonts w:ascii="Times New Roman" w:hAnsi="Times New Roman" w:cs="Times New Roman"/>
          <w:color w:val="000000" w:themeColor="text1"/>
        </w:rPr>
        <w:t xml:space="preserve">The City of Harare employs a set of statutory instruments and regulatory norms that govern urban fire safety practices. The fundamental legislation is the Urban Councils Act (Chapter 29:15). The Urban Councils Act delineates the governance structure for municipal authorities, encompassing responsibility for public safety, service provision, and the management of urban risks. It establishes the legal framework for fire prevention administration, fiscal allocation for fire services, and collaboration with other municipal agencies (Urban Councils Act, ch. 29:15). The Regional Town and Country Planning Act governs spatial planning and land utilization within the region, facilitating risk assessment, zoning, and the incorporation of fire protection measures into urban growth. This legislation facilitates the establishment of safer constructed environments via informed planning, regulation of building density, setbacks, and access for firefighting equipment (Regional Town and Country Planning Act, ch. 29:12). The model building regulations </w:t>
      </w:r>
      <w:r w:rsidRPr="00BE2000">
        <w:rPr>
          <w:rFonts w:ascii="Times New Roman" w:hAnsi="Times New Roman" w:cs="Times New Roman"/>
          <w:color w:val="000000" w:themeColor="text1"/>
        </w:rPr>
        <w:lastRenderedPageBreak/>
        <w:t>provide defined technical specifications for building design, construction, and occupancy that affect fire resistance, means of egress, and fire prevention systems. These ordinances facilitate uniform fire safety standards for newly constructed and rebuilt edifices (Model Building ordinances, 1977). Government Notice 843 delineates regulatory measures that have historically influenced fire preventive and response frameworks, encompassing licensing, inspection protocols, and enforcement mechanisms for fire safety adherence within local jurisdictions (Government Notice 843, 1968). Government Notices 1026 and 1027 are preliminary regulatory documents that enhance the comprehensive framework for the storage and dispensing of flammable liquids, encompassing organizational duties and emergency protocols (Government Notice 1026, 1949; Government Notice 1027, 1949).  These devices facilitate prevention, preparedness, reaction, compliance, and accountability.</w:t>
      </w:r>
    </w:p>
    <w:p w14:paraId="272A16D1" w14:textId="77777777" w:rsidR="006E5540" w:rsidRPr="00BE2000" w:rsidRDefault="006E5540" w:rsidP="002B358B">
      <w:pPr>
        <w:pStyle w:val="ListParagraph"/>
        <w:spacing w:line="360" w:lineRule="auto"/>
        <w:jc w:val="both"/>
        <w:rPr>
          <w:rFonts w:ascii="Times New Roman" w:hAnsi="Times New Roman" w:cs="Times New Roman"/>
          <w:color w:val="000000" w:themeColor="text1"/>
        </w:rPr>
      </w:pPr>
    </w:p>
    <w:p w14:paraId="14BA280B" w14:textId="77777777" w:rsidR="006E5540" w:rsidRPr="00BE2000" w:rsidRDefault="006E5540">
      <w:pPr>
        <w:pStyle w:val="ListParagraph"/>
        <w:numPr>
          <w:ilvl w:val="0"/>
          <w:numId w:val="7"/>
        </w:numPr>
        <w:spacing w:line="360" w:lineRule="auto"/>
        <w:jc w:val="both"/>
        <w:rPr>
          <w:rFonts w:ascii="Times New Roman" w:hAnsi="Times New Roman" w:cs="Times New Roman"/>
          <w:color w:val="000000" w:themeColor="text1"/>
        </w:rPr>
      </w:pPr>
      <w:r w:rsidRPr="00BE2000">
        <w:rPr>
          <w:rFonts w:ascii="Times New Roman" w:hAnsi="Times New Roman" w:cs="Times New Roman"/>
          <w:b/>
          <w:bCs/>
          <w:color w:val="000000" w:themeColor="text1"/>
        </w:rPr>
        <w:t>Prevention:</w:t>
      </w:r>
      <w:r w:rsidRPr="00BE2000">
        <w:rPr>
          <w:rFonts w:ascii="Times New Roman" w:hAnsi="Times New Roman" w:cs="Times New Roman"/>
          <w:color w:val="000000" w:themeColor="text1"/>
        </w:rPr>
        <w:t xml:space="preserve"> Urban planning and construction rules (Regional Town and Country Planning Act, Model Building Bylaws) affect the city's capacity to diminish fire risk via zoning, secure building practices, and focused risk mitigation in high-risk zones (Zhakata, 2024).</w:t>
      </w:r>
    </w:p>
    <w:p w14:paraId="449EF8D9" w14:textId="77777777" w:rsidR="006E5540" w:rsidRPr="00BE2000" w:rsidRDefault="006E5540">
      <w:pPr>
        <w:pStyle w:val="ListParagraph"/>
        <w:numPr>
          <w:ilvl w:val="0"/>
          <w:numId w:val="7"/>
        </w:numPr>
        <w:spacing w:line="360" w:lineRule="auto"/>
        <w:jc w:val="both"/>
        <w:rPr>
          <w:rFonts w:ascii="Times New Roman" w:hAnsi="Times New Roman" w:cs="Times New Roman"/>
          <w:color w:val="000000" w:themeColor="text1"/>
        </w:rPr>
      </w:pPr>
      <w:r w:rsidRPr="00BE2000">
        <w:rPr>
          <w:rFonts w:ascii="Times New Roman" w:hAnsi="Times New Roman" w:cs="Times New Roman"/>
          <w:b/>
          <w:bCs/>
          <w:color w:val="000000" w:themeColor="text1"/>
        </w:rPr>
        <w:t>Preparedness:</w:t>
      </w:r>
      <w:r w:rsidRPr="00BE2000">
        <w:rPr>
          <w:rFonts w:ascii="Times New Roman" w:hAnsi="Times New Roman" w:cs="Times New Roman"/>
          <w:color w:val="000000" w:themeColor="text1"/>
        </w:rPr>
        <w:t xml:space="preserve"> The legal structure established by the Urban Councils Act and related government proclamations grants the power to create fire services, train personnel, maintain equipment, and perform routine inspections and drills (Masimba &amp; Walnycki, 2024). </w:t>
      </w:r>
    </w:p>
    <w:p w14:paraId="21BD8848" w14:textId="77777777" w:rsidR="006E5540" w:rsidRPr="00BE2000" w:rsidRDefault="006E5540">
      <w:pPr>
        <w:pStyle w:val="ListParagraph"/>
        <w:numPr>
          <w:ilvl w:val="0"/>
          <w:numId w:val="7"/>
        </w:numPr>
        <w:spacing w:line="360" w:lineRule="auto"/>
        <w:jc w:val="both"/>
        <w:rPr>
          <w:rFonts w:ascii="Times New Roman" w:hAnsi="Times New Roman" w:cs="Times New Roman"/>
          <w:color w:val="000000" w:themeColor="text1"/>
        </w:rPr>
      </w:pPr>
      <w:r w:rsidRPr="00BE2000">
        <w:rPr>
          <w:rFonts w:ascii="Times New Roman" w:hAnsi="Times New Roman" w:cs="Times New Roman"/>
          <w:b/>
          <w:bCs/>
          <w:color w:val="000000" w:themeColor="text1"/>
        </w:rPr>
        <w:t>Response:</w:t>
      </w:r>
      <w:r w:rsidRPr="00BE2000">
        <w:rPr>
          <w:rFonts w:ascii="Times New Roman" w:hAnsi="Times New Roman" w:cs="Times New Roman"/>
          <w:color w:val="000000" w:themeColor="text1"/>
        </w:rPr>
        <w:t xml:space="preserve"> The enforcement provisions, licensing, and interdepartmental coordination facilitated by these instruments ensure prompt incident reporting, accessibility for emergency services, and standardized response protocols during fire incidents (Kasimbazi, 2024). </w:t>
      </w:r>
    </w:p>
    <w:p w14:paraId="7F21F7C3" w14:textId="77777777" w:rsidR="006E5540" w:rsidRPr="00BE2000" w:rsidRDefault="006E5540">
      <w:pPr>
        <w:pStyle w:val="ListParagraph"/>
        <w:numPr>
          <w:ilvl w:val="0"/>
          <w:numId w:val="7"/>
        </w:numPr>
        <w:spacing w:after="0" w:line="360" w:lineRule="auto"/>
        <w:jc w:val="both"/>
        <w:rPr>
          <w:rFonts w:ascii="Times New Roman" w:hAnsi="Times New Roman" w:cs="Times New Roman"/>
          <w:b/>
          <w:bCs/>
          <w:color w:val="000000" w:themeColor="text1"/>
        </w:rPr>
      </w:pPr>
      <w:r w:rsidRPr="00BE2000">
        <w:rPr>
          <w:rFonts w:ascii="Times New Roman" w:hAnsi="Times New Roman" w:cs="Times New Roman"/>
          <w:b/>
          <w:bCs/>
          <w:color w:val="000000" w:themeColor="text1"/>
        </w:rPr>
        <w:t>Compliance and Accountability:</w:t>
      </w:r>
      <w:r w:rsidRPr="00BE2000">
        <w:rPr>
          <w:rFonts w:ascii="Times New Roman" w:hAnsi="Times New Roman" w:cs="Times New Roman"/>
          <w:color w:val="000000" w:themeColor="text1"/>
        </w:rPr>
        <w:t xml:space="preserve"> Aligning municipal operations with these Acts and Notices allows for the auditing, updating, and improvement of Harare’s fire prevention and response mechanisms to address evolving risks and urban growth (Zhakata, 2024).</w:t>
      </w:r>
    </w:p>
    <w:p w14:paraId="552AEA3A" w14:textId="77777777" w:rsidR="006E5540" w:rsidRPr="00BE2000" w:rsidRDefault="006E5540" w:rsidP="00394501">
      <w:pPr>
        <w:pStyle w:val="Heading2"/>
      </w:pPr>
      <w:bookmarkStart w:id="63" w:name="_Toc215652893"/>
      <w:r w:rsidRPr="00BE2000">
        <w:t>2.6 Research Gap</w:t>
      </w:r>
      <w:bookmarkEnd w:id="63"/>
    </w:p>
    <w:p w14:paraId="06EB0C5D" w14:textId="15977C84" w:rsidR="007B7DDF" w:rsidRDefault="007B7DDF" w:rsidP="00FC393F">
      <w:pPr>
        <w:pStyle w:val="NormalWeb"/>
        <w:spacing w:line="360" w:lineRule="auto"/>
        <w:jc w:val="both"/>
      </w:pPr>
      <w:r>
        <w:t xml:space="preserve">Existing literature on urban fire hazards has largely established the key drivers of fire risk—such as unsafe electrical systems, high-density informal settlements, flammable building materials, and weak institutional capacity—particularly in low- and middle-income countries (Walls et al., 2020; </w:t>
      </w:r>
      <w:r>
        <w:lastRenderedPageBreak/>
        <w:t xml:space="preserve">Adiba, 2023; Zhang et al., 2023). While these studies provide valuable general insights, they tend to be broad, fragmented, and often lack context-specific analysis, especially for rapidly urbanising African cities. In the case of Harare, available evidence is mostly descriptive and incident-based, with limited systematic assessment of how hazard, exposure, vulnerability, and response capacity interact to shape fire risk outcomes (Bhanye et al., 2023). Furthermore, there is insufficient empirical evaluation of the effectiveness of existing fire prevention and response mechanisms, as well as limited integration of socioeconomic impacts into fire risk analysis. Therefore, the key research gap lies in the absence of a </w:t>
      </w:r>
      <w:r w:rsidRPr="007B7DDF">
        <w:rPr>
          <w:rStyle w:val="Strong"/>
          <w:rFonts w:eastAsiaTheme="majorEastAsia"/>
          <w:b w:val="0"/>
          <w:bCs w:val="0"/>
        </w:rPr>
        <w:t>comprehensive, integrated, and context-specific assessment of urban fire risk in Harare</w:t>
      </w:r>
      <w:r>
        <w:t xml:space="preserve"> that simultaneously examines its determinants, impacts, and mitigation capacity. Addressing this gap is essential for generating evidence-based insights to inform targeted policy interventions, improve fire risk management strategies, and enhance urban resilience.</w:t>
      </w:r>
    </w:p>
    <w:p w14:paraId="47E718D5" w14:textId="77777777" w:rsidR="006E5540" w:rsidRPr="00BE2000" w:rsidRDefault="006E5540" w:rsidP="002B358B">
      <w:pPr>
        <w:spacing w:line="360" w:lineRule="auto"/>
        <w:jc w:val="both"/>
        <w:rPr>
          <w:color w:val="000000" w:themeColor="text1"/>
        </w:rPr>
      </w:pPr>
    </w:p>
    <w:p w14:paraId="07B08D42" w14:textId="77777777" w:rsidR="006E5540" w:rsidRPr="00BE2000" w:rsidRDefault="006E5540" w:rsidP="00394501">
      <w:pPr>
        <w:pStyle w:val="Heading2"/>
      </w:pPr>
      <w:bookmarkStart w:id="64" w:name="_Toc215652894"/>
      <w:r w:rsidRPr="00BE2000">
        <w:t>2.7 Summary</w:t>
      </w:r>
      <w:bookmarkEnd w:id="64"/>
      <w:r w:rsidRPr="00BE2000">
        <w:t xml:space="preserve"> </w:t>
      </w:r>
    </w:p>
    <w:p w14:paraId="22C87D4F" w14:textId="7B80E296" w:rsidR="007B7DDF" w:rsidRPr="00BE2000" w:rsidRDefault="007B7DDF" w:rsidP="007B7DDF">
      <w:pPr>
        <w:spacing w:line="360" w:lineRule="auto"/>
        <w:jc w:val="both"/>
        <w:rPr>
          <w:color w:val="000000" w:themeColor="text1"/>
        </w:rPr>
      </w:pPr>
      <w:r w:rsidRPr="00BE2000">
        <w:rPr>
          <w:color w:val="000000" w:themeColor="text1"/>
        </w:rPr>
        <w:t xml:space="preserve">Addressing fire risk necessitates a focus on prevention, protection, and mitigation at global, regional, and urban levels. International standards such as NFPA and ISO, along with frameworks like IFC and IPCC, guide best practices. Concurrently, regional standards established by SADC DRM SAP advocate risk-informed governance and effective knowledge management. At the regional level, SADC prioritizes the integration of fire risk into governance, planning, early warning systems, and urban resilience, emphasizing cross-border coordination and inclusive development; however, implementation is inconsistent. Governance at the city level in Harare is structured according to the Urban Councils Act and the Regional Town and Country Planning Act, which establish the legal framework for fire safety management, budget allocation, and land-use planning. Model building bylaws establish technical criteria for construction and occupancy; however, they necessitate enhanced alignment with regional standards and global best practices. Practical actions encompass various sectors, including residential, commercial, industrial, markets, informal sectors, dumpsites, and veld fires. Prevention strategies encompass safe electrical wiring, fuel management, compartmentation, safe egress, controlled burns, firebreaks, waste segregation, and community education. Mitigation focuses on early detection, prompt alerts, accessible fire services, and evacuation strategies.  A comprehensive framework for global and regional integration of fire prevention and mitigation exists; however, significant research gaps persist. </w:t>
      </w:r>
    </w:p>
    <w:p w14:paraId="5F7DBA71" w14:textId="77777777" w:rsidR="006E5540" w:rsidRPr="00BE2000" w:rsidRDefault="006E5540" w:rsidP="002B358B">
      <w:pPr>
        <w:spacing w:line="360" w:lineRule="auto"/>
        <w:jc w:val="both"/>
        <w:rPr>
          <w:rFonts w:eastAsia="Calibri"/>
          <w:b/>
          <w:bCs/>
          <w:color w:val="000000" w:themeColor="text1"/>
          <w:sz w:val="22"/>
          <w:szCs w:val="22"/>
        </w:rPr>
      </w:pPr>
    </w:p>
    <w:p w14:paraId="75667915" w14:textId="2238E39E" w:rsidR="006E5540" w:rsidRPr="00B32C58" w:rsidRDefault="006E5540" w:rsidP="002B358B">
      <w:pPr>
        <w:spacing w:line="360" w:lineRule="auto"/>
        <w:jc w:val="both"/>
        <w:rPr>
          <w:rFonts w:eastAsia="Calibri"/>
          <w:b/>
          <w:bCs/>
          <w:color w:val="EE0000"/>
          <w:sz w:val="22"/>
          <w:szCs w:val="22"/>
        </w:rPr>
      </w:pPr>
    </w:p>
    <w:p w14:paraId="77401A61" w14:textId="77777777" w:rsidR="006E5540" w:rsidRPr="00BE2000" w:rsidRDefault="006E5540" w:rsidP="002B358B">
      <w:pPr>
        <w:jc w:val="both"/>
        <w:rPr>
          <w:color w:val="000000" w:themeColor="text1"/>
        </w:rPr>
      </w:pPr>
    </w:p>
    <w:p w14:paraId="1EF4A4BE" w14:textId="77777777" w:rsidR="006E5540" w:rsidRPr="00BE2000" w:rsidRDefault="006E5540" w:rsidP="002B358B">
      <w:pPr>
        <w:jc w:val="both"/>
        <w:rPr>
          <w:color w:val="000000" w:themeColor="text1"/>
        </w:rPr>
      </w:pPr>
    </w:p>
    <w:p w14:paraId="317E321E" w14:textId="77777777" w:rsidR="006E5540" w:rsidRPr="00BE2000" w:rsidRDefault="006E5540" w:rsidP="002B358B">
      <w:pPr>
        <w:jc w:val="both"/>
        <w:rPr>
          <w:color w:val="000000" w:themeColor="text1"/>
        </w:rPr>
      </w:pPr>
    </w:p>
    <w:p w14:paraId="587F9E97" w14:textId="77777777" w:rsidR="006E5540" w:rsidRPr="00BE2000" w:rsidRDefault="006E5540" w:rsidP="002B358B">
      <w:pPr>
        <w:jc w:val="both"/>
        <w:rPr>
          <w:color w:val="000000" w:themeColor="text1"/>
        </w:rPr>
      </w:pPr>
    </w:p>
    <w:p w14:paraId="522AD0E3" w14:textId="77777777" w:rsidR="006E5540" w:rsidRPr="00BE2000" w:rsidRDefault="006E5540" w:rsidP="002B358B">
      <w:pPr>
        <w:jc w:val="both"/>
        <w:rPr>
          <w:color w:val="000000" w:themeColor="text1"/>
        </w:rPr>
      </w:pPr>
    </w:p>
    <w:p w14:paraId="3E32442A" w14:textId="77777777" w:rsidR="006E5540" w:rsidRPr="00BE2000" w:rsidRDefault="006E5540" w:rsidP="002B358B">
      <w:pPr>
        <w:jc w:val="both"/>
        <w:rPr>
          <w:color w:val="000000" w:themeColor="text1"/>
        </w:rPr>
      </w:pPr>
    </w:p>
    <w:p w14:paraId="76ACE00F" w14:textId="77777777" w:rsidR="006E5540" w:rsidRPr="00BE2000" w:rsidRDefault="006E5540" w:rsidP="002B358B">
      <w:pPr>
        <w:jc w:val="both"/>
        <w:rPr>
          <w:color w:val="000000" w:themeColor="text1"/>
        </w:rPr>
      </w:pPr>
    </w:p>
    <w:p w14:paraId="23A6CA16" w14:textId="77777777" w:rsidR="006E5540" w:rsidRPr="00BE2000" w:rsidRDefault="006E5540" w:rsidP="002B358B">
      <w:pPr>
        <w:jc w:val="both"/>
        <w:rPr>
          <w:color w:val="000000" w:themeColor="text1"/>
        </w:rPr>
      </w:pPr>
    </w:p>
    <w:p w14:paraId="2B5436ED" w14:textId="77777777" w:rsidR="006E5540" w:rsidRPr="00BE2000" w:rsidRDefault="006E5540" w:rsidP="002B358B">
      <w:pPr>
        <w:jc w:val="both"/>
        <w:rPr>
          <w:color w:val="000000" w:themeColor="text1"/>
        </w:rPr>
      </w:pPr>
    </w:p>
    <w:p w14:paraId="20C44372" w14:textId="77777777" w:rsidR="006E5540" w:rsidRPr="00BE2000" w:rsidRDefault="006E5540" w:rsidP="002B358B">
      <w:pPr>
        <w:jc w:val="both"/>
        <w:rPr>
          <w:color w:val="000000" w:themeColor="text1"/>
        </w:rPr>
      </w:pPr>
    </w:p>
    <w:p w14:paraId="7E5712F4" w14:textId="77777777" w:rsidR="006E5540" w:rsidRPr="00BE2000" w:rsidRDefault="006E5540" w:rsidP="002B358B">
      <w:pPr>
        <w:jc w:val="both"/>
        <w:rPr>
          <w:color w:val="000000" w:themeColor="text1"/>
        </w:rPr>
      </w:pPr>
    </w:p>
    <w:p w14:paraId="3DBA5EDF" w14:textId="77777777" w:rsidR="006E5540" w:rsidRPr="00BE2000" w:rsidRDefault="006E5540" w:rsidP="002B358B">
      <w:pPr>
        <w:jc w:val="both"/>
        <w:rPr>
          <w:color w:val="000000" w:themeColor="text1"/>
        </w:rPr>
      </w:pPr>
    </w:p>
    <w:p w14:paraId="0A57F8AA" w14:textId="77777777" w:rsidR="006E5540" w:rsidRPr="00BE2000" w:rsidRDefault="006E5540" w:rsidP="002B358B">
      <w:pPr>
        <w:jc w:val="both"/>
        <w:rPr>
          <w:color w:val="000000" w:themeColor="text1"/>
        </w:rPr>
      </w:pPr>
    </w:p>
    <w:p w14:paraId="3AD4AB97" w14:textId="77777777" w:rsidR="006E5540" w:rsidRPr="00BE2000" w:rsidRDefault="006E5540" w:rsidP="002B358B">
      <w:pPr>
        <w:jc w:val="both"/>
        <w:rPr>
          <w:color w:val="000000" w:themeColor="text1"/>
        </w:rPr>
      </w:pPr>
    </w:p>
    <w:p w14:paraId="04AD8457" w14:textId="77777777" w:rsidR="006E5540" w:rsidRPr="00BE2000" w:rsidRDefault="006E5540" w:rsidP="002B358B">
      <w:pPr>
        <w:jc w:val="both"/>
        <w:rPr>
          <w:color w:val="000000" w:themeColor="text1"/>
        </w:rPr>
      </w:pPr>
    </w:p>
    <w:p w14:paraId="7E7DD121" w14:textId="77777777" w:rsidR="006E5540" w:rsidRPr="00BE2000" w:rsidRDefault="006E5540" w:rsidP="002B358B">
      <w:pPr>
        <w:jc w:val="both"/>
        <w:rPr>
          <w:color w:val="000000" w:themeColor="text1"/>
        </w:rPr>
      </w:pPr>
    </w:p>
    <w:p w14:paraId="1AC0D638" w14:textId="708E9AAD" w:rsidR="007C7F70" w:rsidRDefault="006E5540" w:rsidP="006C3EB9">
      <w:pPr>
        <w:pStyle w:val="Heading1"/>
      </w:pPr>
      <w:bookmarkStart w:id="65" w:name="_Toc215652895"/>
      <w:r w:rsidRPr="00BE2000">
        <w:t xml:space="preserve">CHAPTER </w:t>
      </w:r>
      <w:bookmarkStart w:id="66" w:name="_Toc215652896"/>
      <w:bookmarkEnd w:id="65"/>
      <w:r w:rsidR="002B358B" w:rsidRPr="00BE2000">
        <w:t>3</w:t>
      </w:r>
    </w:p>
    <w:p w14:paraId="17A6554E" w14:textId="436F2A91" w:rsidR="006E5540" w:rsidRPr="002B358B" w:rsidRDefault="002B358B" w:rsidP="006C3EB9">
      <w:pPr>
        <w:pStyle w:val="Heading1"/>
      </w:pPr>
      <w:r w:rsidRPr="00BE2000">
        <w:t>Research</w:t>
      </w:r>
      <w:r w:rsidR="006E5540" w:rsidRPr="00BE2000">
        <w:t xml:space="preserve"> Methodology</w:t>
      </w:r>
      <w:bookmarkEnd w:id="66"/>
    </w:p>
    <w:p w14:paraId="454E4131" w14:textId="77777777" w:rsidR="007C7F70" w:rsidRDefault="007C7F70" w:rsidP="00394501">
      <w:pPr>
        <w:pStyle w:val="Heading2"/>
      </w:pPr>
      <w:bookmarkStart w:id="67" w:name="_Toc215652897"/>
    </w:p>
    <w:p w14:paraId="168571FC" w14:textId="6627BC81" w:rsidR="002B358B" w:rsidRPr="002B358B" w:rsidRDefault="00EF1F0D" w:rsidP="00394501">
      <w:pPr>
        <w:pStyle w:val="Heading2"/>
      </w:pPr>
      <w:r w:rsidRPr="00EF1F0D">
        <w:t>3.1 Introduction</w:t>
      </w:r>
      <w:bookmarkEnd w:id="67"/>
    </w:p>
    <w:p w14:paraId="7F7D9720" w14:textId="2A2BDB6C" w:rsidR="00EF1F0D" w:rsidRPr="00EF1F0D" w:rsidRDefault="00EF1F0D" w:rsidP="001E14BF">
      <w:pPr>
        <w:spacing w:line="360" w:lineRule="auto"/>
        <w:jc w:val="both"/>
        <w:rPr>
          <w:bCs/>
          <w:color w:val="000000" w:themeColor="text1"/>
        </w:rPr>
      </w:pPr>
      <w:r w:rsidRPr="00EF1F0D">
        <w:rPr>
          <w:bCs/>
          <w:color w:val="000000" w:themeColor="text1"/>
        </w:rPr>
        <w:t xml:space="preserve">The research employed a mixed-methods approach to evaluate the effects of urban fire hazards in Harare City. The primary objective was to gather both quantitative and qualitative data to elucidate the causes, frequency, impacts, and mitigation measures associated with urban fire dangers. The mixed-methods objective was to juxtapose quantitative data with qualitative data using a convergent design and the merging approach. Mixed methods research emerged as a unique methodology in the late 1980s, and understanding its historical context was essential in formulating a justification for its use. Over its 35-year existence, mixed </w:t>
      </w:r>
      <w:r w:rsidR="002B358B" w:rsidRPr="00EF1F0D">
        <w:rPr>
          <w:bCs/>
          <w:color w:val="000000" w:themeColor="text1"/>
        </w:rPr>
        <w:t>methods of</w:t>
      </w:r>
      <w:r w:rsidRPr="00EF1F0D">
        <w:rPr>
          <w:bCs/>
          <w:color w:val="000000" w:themeColor="text1"/>
        </w:rPr>
        <w:t xml:space="preserve"> research developed into a comprehensive technique, characterized by explicit definitions of its fundamental components, including research problems, data collection, data analysis, interpretation, and written outpu</w:t>
      </w:r>
      <w:r w:rsidRPr="00E53926">
        <w:rPr>
          <w:bCs/>
        </w:rPr>
        <w:t xml:space="preserve">ts. </w:t>
      </w:r>
      <w:r w:rsidRPr="00EF1F0D">
        <w:rPr>
          <w:bCs/>
          <w:color w:val="000000" w:themeColor="text1"/>
        </w:rPr>
        <w:t>The research design facilitated an in-depth examination of the causes of fire occurrences and their social and economic repercussions in Harare, ensuring that the results were precise, reliable, and relevant to the local environment.</w:t>
      </w:r>
    </w:p>
    <w:p w14:paraId="0DD67C0B" w14:textId="26BD0E87" w:rsidR="00EF1F0D" w:rsidRPr="00EF1F0D" w:rsidRDefault="00EF1F0D" w:rsidP="001E14BF">
      <w:pPr>
        <w:spacing w:line="360" w:lineRule="auto"/>
        <w:jc w:val="both"/>
        <w:rPr>
          <w:bCs/>
          <w:color w:val="000000" w:themeColor="text1"/>
        </w:rPr>
      </w:pPr>
      <w:r w:rsidRPr="00EF1F0D">
        <w:rPr>
          <w:bCs/>
          <w:color w:val="000000" w:themeColor="text1"/>
        </w:rPr>
        <w:t xml:space="preserve">Quantitative data were collected from the fire department and relevant municipal agencies using official records and structured surveys to assess the frequency, response times, and damage costs </w:t>
      </w:r>
      <w:r w:rsidRPr="00EF1F0D">
        <w:rPr>
          <w:bCs/>
          <w:color w:val="000000" w:themeColor="text1"/>
        </w:rPr>
        <w:lastRenderedPageBreak/>
        <w:t xml:space="preserve">of urban </w:t>
      </w:r>
      <w:r w:rsidRPr="00E53926">
        <w:rPr>
          <w:bCs/>
        </w:rPr>
        <w:t xml:space="preserve">fires. </w:t>
      </w:r>
      <w:r w:rsidRPr="00EF1F0D">
        <w:rPr>
          <w:bCs/>
          <w:color w:val="000000" w:themeColor="text1"/>
        </w:rPr>
        <w:t>Likewise, qualitative data in this research were collected using focus groups, interviews, and field observations to examine community perceptions, behavioural factors, and policy-related issues. Integrating these methodologies enhanced data richness, facilitated triangulation, and ensured a comprehensive understanding of the fire threat environment in Harare.</w:t>
      </w:r>
    </w:p>
    <w:p w14:paraId="786178E0" w14:textId="77777777" w:rsidR="00EF1F0D" w:rsidRPr="00EF1F0D" w:rsidRDefault="00EF1F0D" w:rsidP="001E14BF">
      <w:pPr>
        <w:spacing w:line="360" w:lineRule="auto"/>
        <w:jc w:val="both"/>
        <w:rPr>
          <w:bCs/>
          <w:color w:val="000000" w:themeColor="text1"/>
        </w:rPr>
      </w:pPr>
    </w:p>
    <w:p w14:paraId="65BBAFA2" w14:textId="49B41C27" w:rsidR="00EF1F0D" w:rsidRDefault="00EF1F0D" w:rsidP="001E14BF">
      <w:pPr>
        <w:spacing w:line="360" w:lineRule="auto"/>
        <w:jc w:val="both"/>
        <w:rPr>
          <w:bCs/>
          <w:color w:val="000000" w:themeColor="text1"/>
        </w:rPr>
      </w:pPr>
      <w:r w:rsidRPr="00EF1F0D">
        <w:rPr>
          <w:bCs/>
          <w:color w:val="000000" w:themeColor="text1"/>
        </w:rPr>
        <w:t>A case study approach that focused on Harare City was adopted to contextualize findings in the local urban setting. Ethical considerations throughout the research process followed principles related to informed consent and confidentiality. The main aim of the methodology was to generate information that can inform policy development toward effective fire hazard management in Harare and other urban settings.</w:t>
      </w:r>
    </w:p>
    <w:p w14:paraId="25DF5AE4" w14:textId="77777777" w:rsidR="00E53926" w:rsidRPr="00EF1F0D" w:rsidRDefault="00E53926" w:rsidP="001E14BF">
      <w:pPr>
        <w:spacing w:line="360" w:lineRule="auto"/>
        <w:jc w:val="both"/>
        <w:rPr>
          <w:bCs/>
          <w:color w:val="000000" w:themeColor="text1"/>
        </w:rPr>
      </w:pPr>
    </w:p>
    <w:p w14:paraId="6C4DC359" w14:textId="77777777" w:rsidR="00EF1F0D" w:rsidRPr="00EF1F0D" w:rsidRDefault="00EF1F0D" w:rsidP="00394501">
      <w:pPr>
        <w:pStyle w:val="Heading2"/>
      </w:pPr>
      <w:bookmarkStart w:id="68" w:name="_Toc215652898"/>
      <w:r w:rsidRPr="00EF1F0D">
        <w:t>3.2 Research Design</w:t>
      </w:r>
      <w:bookmarkEnd w:id="68"/>
    </w:p>
    <w:p w14:paraId="2DBA43C4" w14:textId="721285D9" w:rsidR="00B77685" w:rsidRDefault="00B77685" w:rsidP="005C58AE">
      <w:pPr>
        <w:pStyle w:val="NormalWeb"/>
        <w:spacing w:line="360" w:lineRule="auto"/>
        <w:jc w:val="both"/>
      </w:pPr>
      <w:r>
        <w:t xml:space="preserve">This study is anchored in the </w:t>
      </w:r>
      <w:r w:rsidRPr="00B77685">
        <w:rPr>
          <w:rStyle w:val="Strong"/>
          <w:rFonts w:eastAsiaTheme="majorEastAsia"/>
          <w:b w:val="0"/>
          <w:bCs w:val="0"/>
        </w:rPr>
        <w:t>pragmatist research paradigm</w:t>
      </w:r>
      <w:r>
        <w:t xml:space="preserve">, which emphasises the use of methods best suited to addressing the research problem rather than adherence to a single philosophical stance (Creswell &amp; Creswell, 2023). Pragmatism supports the integration of both quantitative and qualitative approaches, making it appropriate for complex urban risk studies that require both measurement and contextual understanding. Guided by this paradigm, the study adopts a </w:t>
      </w:r>
      <w:r w:rsidRPr="00B77685">
        <w:rPr>
          <w:rStyle w:val="Strong"/>
          <w:rFonts w:eastAsiaTheme="majorEastAsia"/>
          <w:b w:val="0"/>
          <w:bCs w:val="0"/>
        </w:rPr>
        <w:t>mixed methods research design</w:t>
      </w:r>
      <w:r>
        <w:t xml:space="preserve">, combining quantitative techniques (e.g., surveys, secondary data analysis) with qualitative approaches (e.g., interviews, observations). Mixed methods designs are widely used in urban risk and disaster studies to capture both statistical patterns and lived experiences (Creswell &amp; Plano Clark, 2018). The strength of this design lies in its ability to provide </w:t>
      </w:r>
      <w:r w:rsidRPr="00B77685">
        <w:rPr>
          <w:rStyle w:val="Strong"/>
          <w:rFonts w:eastAsiaTheme="majorEastAsia"/>
          <w:b w:val="0"/>
          <w:bCs w:val="0"/>
        </w:rPr>
        <w:t>complementarity, triangulation, and a more comprehensive understanding</w:t>
      </w:r>
      <w:r>
        <w:t xml:space="preserve"> of fire risk. However, it is often criticised for being time-consuming, resource-intensive, and methodologically complex. Despite these limitations, the design is appropriate for this study because urban fire risk in Harare </w:t>
      </w:r>
      <w:r w:rsidRPr="00B77685">
        <w:t xml:space="preserve">involves </w:t>
      </w:r>
      <w:r w:rsidRPr="00B77685">
        <w:rPr>
          <w:rStyle w:val="Strong"/>
          <w:rFonts w:eastAsiaTheme="majorEastAsia"/>
          <w:b w:val="0"/>
          <w:bCs w:val="0"/>
        </w:rPr>
        <w:t>multidimensional factors</w:t>
      </w:r>
      <w:r>
        <w:t xml:space="preserve">—physical, social, and institutional—that cannot be fully understood using a single method. The mixed methods approach enables the study to </w:t>
      </w:r>
      <w:r w:rsidRPr="00B77685">
        <w:rPr>
          <w:rStyle w:val="Strong"/>
          <w:rFonts w:eastAsiaTheme="majorEastAsia"/>
          <w:b w:val="0"/>
          <w:bCs w:val="0"/>
        </w:rPr>
        <w:t>quantify fire risk patterns while also explaining underlying causes and evaluating response mechanisms</w:t>
      </w:r>
      <w:r>
        <w:t>, thereby strengthening the validity and applicability of the findings.</w:t>
      </w:r>
    </w:p>
    <w:p w14:paraId="40476062" w14:textId="77777777" w:rsidR="00EF1F0D" w:rsidRPr="00EF1F0D" w:rsidRDefault="00EF1F0D" w:rsidP="001E14BF">
      <w:pPr>
        <w:spacing w:line="360" w:lineRule="auto"/>
        <w:jc w:val="both"/>
        <w:rPr>
          <w:bCs/>
          <w:color w:val="000000" w:themeColor="text1"/>
        </w:rPr>
      </w:pPr>
    </w:p>
    <w:p w14:paraId="519EA568" w14:textId="2D274A94" w:rsidR="00EF1F0D" w:rsidRPr="005C58AE" w:rsidRDefault="00EF1F0D" w:rsidP="005C58AE">
      <w:pPr>
        <w:pStyle w:val="Heading3"/>
        <w:spacing w:before="0" w:line="360" w:lineRule="auto"/>
        <w:jc w:val="both"/>
      </w:pPr>
      <w:bookmarkStart w:id="69" w:name="_Toc215652899"/>
      <w:r w:rsidRPr="00EF1F0D">
        <w:lastRenderedPageBreak/>
        <w:t>3.2.1 Rationale for Using a Mixed-Methods Approach</w:t>
      </w:r>
      <w:bookmarkEnd w:id="69"/>
    </w:p>
    <w:p w14:paraId="2961BD8D" w14:textId="720E2B24" w:rsidR="00EF1F0D" w:rsidRPr="00EF1F0D" w:rsidRDefault="00EF1F0D" w:rsidP="001E14BF">
      <w:pPr>
        <w:spacing w:line="360" w:lineRule="auto"/>
        <w:jc w:val="both"/>
        <w:rPr>
          <w:bCs/>
          <w:color w:val="000000" w:themeColor="text1"/>
        </w:rPr>
      </w:pPr>
      <w:r w:rsidRPr="00EF1F0D">
        <w:rPr>
          <w:bCs/>
          <w:color w:val="000000" w:themeColor="text1"/>
        </w:rPr>
        <w:t xml:space="preserve">There were numerous typologies to categorize and distinguish different </w:t>
      </w:r>
      <w:r w:rsidR="002B358B" w:rsidRPr="00EF1F0D">
        <w:rPr>
          <w:bCs/>
          <w:color w:val="000000" w:themeColor="text1"/>
        </w:rPr>
        <w:t>mixed methods</w:t>
      </w:r>
      <w:r w:rsidRPr="00EF1F0D">
        <w:rPr>
          <w:bCs/>
          <w:color w:val="000000" w:themeColor="text1"/>
        </w:rPr>
        <w:t xml:space="preserve"> approaches. Creswell and Clark (2018) portrayed various classification systems emanating from such areas as assessment, nursing, public health, education policy, and social and </w:t>
      </w:r>
      <w:r w:rsidR="00B77685">
        <w:rPr>
          <w:bCs/>
          <w:color w:val="000000" w:themeColor="text1"/>
        </w:rPr>
        <w:t>b</w:t>
      </w:r>
      <w:r w:rsidR="00B77685" w:rsidRPr="00EF1F0D">
        <w:rPr>
          <w:bCs/>
          <w:color w:val="000000" w:themeColor="text1"/>
        </w:rPr>
        <w:t>ehavioral</w:t>
      </w:r>
      <w:r w:rsidRPr="00EF1F0D">
        <w:rPr>
          <w:bCs/>
          <w:color w:val="000000" w:themeColor="text1"/>
        </w:rPr>
        <w:t xml:space="preserve"> research. A multidisciplinary strategy was essential because of the complexity of urban fire threats. Quantitative data presented statistical proof of patterns and trends in incidents through an assessment of incidence, distribution, and impacts of fire occurrences; qualitative data provided access to community views, motivations, and responses that numerical data alone could not reach. Such a combination of methods made sure the trends that were measurable would also be found and contextualized within institutional practices and lived community experiences.</w:t>
      </w:r>
      <w:r w:rsidR="00BE689C">
        <w:rPr>
          <w:bCs/>
          <w:color w:val="000000" w:themeColor="text1"/>
        </w:rPr>
        <w:t xml:space="preserve"> </w:t>
      </w:r>
      <w:r w:rsidRPr="00EF1F0D">
        <w:rPr>
          <w:bCs/>
          <w:color w:val="000000" w:themeColor="text1"/>
        </w:rPr>
        <w:t xml:space="preserve">Of the three main mixed-method designs, which are convergent, explanatory sequential, and exploratory sequential, the convergent design was applied. This design </w:t>
      </w:r>
      <w:r w:rsidR="002B358B" w:rsidRPr="00EF1F0D">
        <w:rPr>
          <w:bCs/>
          <w:color w:val="000000" w:themeColor="text1"/>
        </w:rPr>
        <w:t>aims</w:t>
      </w:r>
      <w:r w:rsidRPr="00EF1F0D">
        <w:rPr>
          <w:bCs/>
          <w:color w:val="000000" w:themeColor="text1"/>
        </w:rPr>
        <w:t xml:space="preserve"> to juxtapose qualitative findings with quantitative results by integrating both sets of data. The basis of this approach was the belief that qualitative and quantitative data give different yet complementary forms of knowledge, and together yield robust outcomes (Shaw et al., 2013).</w:t>
      </w:r>
    </w:p>
    <w:p w14:paraId="25B186B1" w14:textId="77777777" w:rsidR="00EF1F0D" w:rsidRPr="00EF1F0D" w:rsidRDefault="00EF1F0D" w:rsidP="001E14BF">
      <w:pPr>
        <w:spacing w:line="360" w:lineRule="auto"/>
        <w:jc w:val="both"/>
        <w:rPr>
          <w:bCs/>
          <w:color w:val="000000" w:themeColor="text1"/>
        </w:rPr>
      </w:pPr>
    </w:p>
    <w:p w14:paraId="708C084B" w14:textId="5764DA2B" w:rsidR="00EF1F0D" w:rsidRPr="005C58AE" w:rsidRDefault="00EF1F0D" w:rsidP="005C58AE">
      <w:pPr>
        <w:pStyle w:val="Heading3"/>
        <w:spacing w:after="0" w:line="360" w:lineRule="auto"/>
        <w:jc w:val="both"/>
      </w:pPr>
      <w:bookmarkStart w:id="70" w:name="_Toc215652900"/>
      <w:r w:rsidRPr="00EF1F0D">
        <w:t>3.2.2 Quantitative Component</w:t>
      </w:r>
      <w:bookmarkEnd w:id="70"/>
    </w:p>
    <w:p w14:paraId="4727206E" w14:textId="77777777" w:rsidR="00EF1F0D" w:rsidRPr="00EF1F0D" w:rsidRDefault="00EF1F0D" w:rsidP="001E14BF">
      <w:pPr>
        <w:spacing w:line="360" w:lineRule="auto"/>
        <w:jc w:val="both"/>
        <w:rPr>
          <w:bCs/>
          <w:color w:val="000000" w:themeColor="text1"/>
        </w:rPr>
      </w:pPr>
      <w:r w:rsidRPr="00EF1F0D">
        <w:rPr>
          <w:bCs/>
          <w:color w:val="000000" w:themeColor="text1"/>
        </w:rPr>
        <w:t>The quantitative aspect assessed objective hypotheses by analyzing the relationships among the variables measured numerically through the use of statistical methods. The written report at the end followed an organized structure that included the introduction, literature and theory, methodology, findings, and commentary (Creswell &amp; Creswell, 2023). In this study, numerical data were collected by analyzing official fire incident records and conducting structured resident surveys. This aspect examined the prevalence of fire hazards, their causes, and impacts across neighborhoods. The data were subjected to descriptive and inferential statistical analysis-developing frequency distributions, chi-square tests, and correlation analysis-to identify significant associations and hotspots.</w:t>
      </w:r>
    </w:p>
    <w:p w14:paraId="4313E71D" w14:textId="77777777" w:rsidR="00EF1F0D" w:rsidRPr="00EF1F0D" w:rsidRDefault="00EF1F0D" w:rsidP="001E14BF">
      <w:pPr>
        <w:spacing w:line="360" w:lineRule="auto"/>
        <w:jc w:val="both"/>
        <w:rPr>
          <w:bCs/>
          <w:color w:val="000000" w:themeColor="text1"/>
        </w:rPr>
      </w:pPr>
    </w:p>
    <w:p w14:paraId="3402D143" w14:textId="5A137A8D" w:rsidR="00EF1F0D" w:rsidRPr="005C58AE" w:rsidRDefault="00EF1F0D" w:rsidP="005C58AE">
      <w:pPr>
        <w:pStyle w:val="Heading3"/>
        <w:spacing w:line="360" w:lineRule="auto"/>
        <w:jc w:val="both"/>
      </w:pPr>
      <w:bookmarkStart w:id="71" w:name="_Toc215652901"/>
      <w:r w:rsidRPr="00EF1F0D">
        <w:t>3.2.3 Qualitative Component</w:t>
      </w:r>
      <w:bookmarkEnd w:id="71"/>
    </w:p>
    <w:p w14:paraId="4766CB32" w14:textId="5E9FE3F0" w:rsidR="00EF1F0D" w:rsidRPr="00EF1F0D" w:rsidRDefault="00EF1F0D" w:rsidP="001E14BF">
      <w:pPr>
        <w:spacing w:line="360" w:lineRule="auto"/>
        <w:jc w:val="both"/>
        <w:rPr>
          <w:bCs/>
          <w:color w:val="000000" w:themeColor="text1"/>
        </w:rPr>
      </w:pPr>
      <w:r w:rsidRPr="00EF1F0D">
        <w:rPr>
          <w:bCs/>
          <w:color w:val="000000" w:themeColor="text1"/>
        </w:rPr>
        <w:t xml:space="preserve">Qualitative research studied and interpreted meanings that individuals or groups gave to social or human problems. It included activities such as formulating questions, gathering data in natural </w:t>
      </w:r>
      <w:r w:rsidRPr="00EF1F0D">
        <w:rPr>
          <w:bCs/>
          <w:color w:val="000000" w:themeColor="text1"/>
        </w:rPr>
        <w:lastRenderedPageBreak/>
        <w:t>settings, and using inductive analysis to develop themes from detailed accounts (Creswell &amp; Creswell, 2023). The structure of the final report was flexible.</w:t>
      </w:r>
      <w:r w:rsidR="00EE2F43">
        <w:rPr>
          <w:bCs/>
          <w:color w:val="000000" w:themeColor="text1"/>
        </w:rPr>
        <w:t xml:space="preserve"> </w:t>
      </w:r>
      <w:r w:rsidRPr="00EF1F0D">
        <w:rPr>
          <w:bCs/>
          <w:color w:val="000000" w:themeColor="text1"/>
        </w:rPr>
        <w:t xml:space="preserve">The qualitative component added richness to the quantitative findings by exploring perceptions, causes, and mitigation strategies as conceived by officials and community members (Creswell &amp; Clark, 2018). Semi-structured interviews with city officials and fire personnel were conducted, whereas for community leaders and residents, there were focus groups. These approaches allowed them to understand the institutional challenges, community behaviors, and perceptions at the local level. Qualitative data were thematically analyzed to identify patterns and learn from </w:t>
      </w:r>
      <w:r w:rsidR="002B358B" w:rsidRPr="00EF1F0D">
        <w:rPr>
          <w:bCs/>
          <w:color w:val="000000" w:themeColor="text1"/>
        </w:rPr>
        <w:t>insights that are</w:t>
      </w:r>
      <w:r w:rsidRPr="00EF1F0D">
        <w:rPr>
          <w:bCs/>
          <w:color w:val="000000" w:themeColor="text1"/>
        </w:rPr>
        <w:t xml:space="preserve"> not possible with statistics.</w:t>
      </w:r>
    </w:p>
    <w:p w14:paraId="4D8E0CAA" w14:textId="77777777" w:rsidR="00EF1F0D" w:rsidRPr="00EF1F0D" w:rsidRDefault="00EF1F0D" w:rsidP="001E14BF">
      <w:pPr>
        <w:pStyle w:val="Heading3"/>
        <w:spacing w:line="360" w:lineRule="auto"/>
        <w:jc w:val="both"/>
      </w:pPr>
      <w:bookmarkStart w:id="72" w:name="_Toc215652902"/>
      <w:r w:rsidRPr="00EF1F0D">
        <w:t>3.2.4 Integration of Approaches</w:t>
      </w:r>
      <w:bookmarkEnd w:id="72"/>
    </w:p>
    <w:p w14:paraId="5E2A44BF" w14:textId="0A9C92D0" w:rsidR="00EF1F0D" w:rsidRPr="00EF1F0D" w:rsidRDefault="00EF1F0D" w:rsidP="001E14BF">
      <w:pPr>
        <w:spacing w:line="360" w:lineRule="auto"/>
        <w:jc w:val="both"/>
        <w:rPr>
          <w:bCs/>
          <w:color w:val="000000" w:themeColor="text1"/>
        </w:rPr>
      </w:pPr>
      <w:r w:rsidRPr="00EF1F0D">
        <w:rPr>
          <w:bCs/>
          <w:color w:val="000000" w:themeColor="text1"/>
        </w:rPr>
        <w:t xml:space="preserve">Mixed-methods inquiry involved the collection of quantitative and qualitative data, systematic integration, and formation of meta-inferences from combined datasets. The </w:t>
      </w:r>
      <w:r w:rsidR="002B358B" w:rsidRPr="00EF1F0D">
        <w:rPr>
          <w:bCs/>
          <w:color w:val="000000" w:themeColor="text1"/>
        </w:rPr>
        <w:t>mixed methods</w:t>
      </w:r>
      <w:r w:rsidRPr="00EF1F0D">
        <w:rPr>
          <w:bCs/>
          <w:color w:val="000000" w:themeColor="text1"/>
        </w:rPr>
        <w:t xml:space="preserve"> design places emphasis on the synthesis of findings from both datasets during analysis and interpretation. Triangulation enhanced the understanding of fire threats affecting Harare and added to the validity and reliability of results. Community perceptions were integrated with statistical data on hotspots in order to come up with comprehensive and intervention-oriented insights.</w:t>
      </w:r>
    </w:p>
    <w:p w14:paraId="02826499" w14:textId="77777777" w:rsidR="00EF1F0D" w:rsidRPr="00EF1F0D" w:rsidRDefault="00EF1F0D" w:rsidP="006C3EB9">
      <w:pPr>
        <w:pStyle w:val="Heading1"/>
      </w:pPr>
      <w:bookmarkStart w:id="73" w:name="_Toc215652903"/>
      <w:r w:rsidRPr="00EF1F0D">
        <w:t>3.3 Sampling Methods</w:t>
      </w:r>
      <w:bookmarkEnd w:id="73"/>
    </w:p>
    <w:p w14:paraId="5F59EBD7" w14:textId="77777777" w:rsidR="00EF1F0D" w:rsidRPr="00EF1F0D" w:rsidRDefault="00EF1F0D" w:rsidP="001E14BF">
      <w:pPr>
        <w:spacing w:line="360" w:lineRule="auto"/>
        <w:jc w:val="both"/>
        <w:rPr>
          <w:bCs/>
          <w:color w:val="000000" w:themeColor="text1"/>
        </w:rPr>
      </w:pPr>
    </w:p>
    <w:p w14:paraId="17B98209" w14:textId="77777777" w:rsidR="00EF1F0D" w:rsidRPr="00EF1F0D" w:rsidRDefault="00EF1F0D" w:rsidP="001E14BF">
      <w:pPr>
        <w:spacing w:line="360" w:lineRule="auto"/>
        <w:jc w:val="both"/>
        <w:rPr>
          <w:bCs/>
          <w:color w:val="000000" w:themeColor="text1"/>
        </w:rPr>
      </w:pPr>
      <w:r w:rsidRPr="00EF1F0D">
        <w:rPr>
          <w:bCs/>
          <w:color w:val="000000" w:themeColor="text1"/>
        </w:rPr>
        <w:t>The sampling process involved the selection of a sample of individuals, groups, or units from a larger population. Its purpose is to obtain a representative sample reflecting diversity in the population. As posited by Ahmad et al. (2023), proper sampling enhances efficiency, validity, and reliability.</w:t>
      </w:r>
    </w:p>
    <w:p w14:paraId="42BE3F1A" w14:textId="77777777" w:rsidR="00EF1F0D" w:rsidRPr="00EF1F0D" w:rsidRDefault="00EF1F0D" w:rsidP="001E14BF">
      <w:pPr>
        <w:spacing w:line="360" w:lineRule="auto"/>
        <w:jc w:val="both"/>
        <w:rPr>
          <w:bCs/>
          <w:color w:val="000000" w:themeColor="text1"/>
        </w:rPr>
      </w:pPr>
    </w:p>
    <w:p w14:paraId="388D7970" w14:textId="77777777" w:rsidR="002D79D8" w:rsidRDefault="00EF1F0D" w:rsidP="002D79D8">
      <w:pPr>
        <w:pStyle w:val="Heading3"/>
        <w:spacing w:after="0" w:line="360" w:lineRule="auto"/>
        <w:jc w:val="both"/>
      </w:pPr>
      <w:bookmarkStart w:id="74" w:name="_Toc215652905"/>
      <w:r w:rsidRPr="00EF1F0D">
        <w:t>3.3.1 Target Population</w:t>
      </w:r>
      <w:bookmarkEnd w:id="74"/>
    </w:p>
    <w:p w14:paraId="4FB1477F" w14:textId="46CCC424" w:rsidR="00EE2F43" w:rsidRDefault="00EE2F43" w:rsidP="002D79D8">
      <w:pPr>
        <w:spacing w:line="360" w:lineRule="auto"/>
        <w:jc w:val="both"/>
      </w:pPr>
      <w:r w:rsidRPr="00EE2F43">
        <w:t>The target population comprised key stakeholder groups directly involved in or affected by urban fire hazards and fire risk management in Harare City. These groups were selected due to their practical experience, institutional roles, and community-level engagement in fire prevention and response.</w:t>
      </w:r>
    </w:p>
    <w:p w14:paraId="029B3D39" w14:textId="1C1D52CE" w:rsidR="00EE2F43" w:rsidRPr="00EE2F43" w:rsidRDefault="00EE2F43" w:rsidP="00EE2F43">
      <w:pPr>
        <w:spacing w:before="100" w:beforeAutospacing="1" w:after="100" w:afterAutospacing="1"/>
      </w:pPr>
      <w:r>
        <w:t>Table 3.1 Target population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4"/>
        <w:gridCol w:w="3124"/>
        <w:gridCol w:w="3782"/>
      </w:tblGrid>
      <w:tr w:rsidR="00EE2F43" w:rsidRPr="00EE2F43" w14:paraId="66E3C261" w14:textId="77777777" w:rsidTr="00EE2F43">
        <w:trPr>
          <w:tblHeader/>
          <w:tblCellSpacing w:w="15" w:type="dxa"/>
        </w:trPr>
        <w:tc>
          <w:tcPr>
            <w:tcW w:w="0" w:type="auto"/>
            <w:tcBorders>
              <w:top w:val="single" w:sz="4" w:space="0" w:color="auto"/>
              <w:left w:val="single" w:sz="4" w:space="0" w:color="auto"/>
              <w:right w:val="single" w:sz="4" w:space="0" w:color="auto"/>
            </w:tcBorders>
            <w:vAlign w:val="center"/>
            <w:hideMark/>
          </w:tcPr>
          <w:p w14:paraId="5F10B511" w14:textId="77777777" w:rsidR="00EE2F43" w:rsidRPr="00EE2F43" w:rsidRDefault="00EE2F43" w:rsidP="00EE2F43">
            <w:pPr>
              <w:jc w:val="center"/>
              <w:rPr>
                <w:b/>
                <w:bCs/>
              </w:rPr>
            </w:pPr>
            <w:r w:rsidRPr="00EE2F43">
              <w:rPr>
                <w:b/>
                <w:bCs/>
              </w:rPr>
              <w:lastRenderedPageBreak/>
              <w:t>Category of Respondents</w:t>
            </w:r>
          </w:p>
        </w:tc>
        <w:tc>
          <w:tcPr>
            <w:tcW w:w="0" w:type="auto"/>
            <w:tcBorders>
              <w:top w:val="single" w:sz="4" w:space="0" w:color="auto"/>
            </w:tcBorders>
            <w:vAlign w:val="center"/>
            <w:hideMark/>
          </w:tcPr>
          <w:p w14:paraId="1EFF3687" w14:textId="77777777" w:rsidR="00EE2F43" w:rsidRPr="00EE2F43" w:rsidRDefault="00EE2F43" w:rsidP="00EE2F43">
            <w:pPr>
              <w:jc w:val="center"/>
              <w:rPr>
                <w:b/>
                <w:bCs/>
              </w:rPr>
            </w:pPr>
            <w:r w:rsidRPr="00EE2F43">
              <w:rPr>
                <w:b/>
                <w:bCs/>
              </w:rPr>
              <w:t>Description / Role</w:t>
            </w:r>
          </w:p>
        </w:tc>
        <w:tc>
          <w:tcPr>
            <w:tcW w:w="0" w:type="auto"/>
            <w:tcBorders>
              <w:top w:val="single" w:sz="4" w:space="0" w:color="auto"/>
              <w:left w:val="single" w:sz="4" w:space="0" w:color="auto"/>
              <w:right w:val="single" w:sz="4" w:space="0" w:color="auto"/>
            </w:tcBorders>
            <w:vAlign w:val="center"/>
            <w:hideMark/>
          </w:tcPr>
          <w:p w14:paraId="3FDB9B5B" w14:textId="77777777" w:rsidR="00EE2F43" w:rsidRPr="00EE2F43" w:rsidRDefault="00EE2F43" w:rsidP="00EE2F43">
            <w:pPr>
              <w:jc w:val="center"/>
              <w:rPr>
                <w:b/>
                <w:bCs/>
              </w:rPr>
            </w:pPr>
            <w:r w:rsidRPr="00EE2F43">
              <w:rPr>
                <w:b/>
                <w:bCs/>
              </w:rPr>
              <w:t>Justification for Inclusion</w:t>
            </w:r>
          </w:p>
        </w:tc>
      </w:tr>
      <w:tr w:rsidR="00EE2F43" w:rsidRPr="00EE2F43" w14:paraId="7D4C779B" w14:textId="77777777" w:rsidTr="00EE2F4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A4F8A7" w14:textId="77777777" w:rsidR="00EE2F43" w:rsidRPr="00EE2F43" w:rsidRDefault="00EE2F43" w:rsidP="00EE2F43">
            <w:r w:rsidRPr="00EE2F43">
              <w:t>Residents of Harare City</w:t>
            </w:r>
          </w:p>
        </w:tc>
        <w:tc>
          <w:tcPr>
            <w:tcW w:w="0" w:type="auto"/>
            <w:tcBorders>
              <w:top w:val="single" w:sz="4" w:space="0" w:color="auto"/>
              <w:bottom w:val="single" w:sz="4" w:space="0" w:color="auto"/>
            </w:tcBorders>
            <w:vAlign w:val="center"/>
            <w:hideMark/>
          </w:tcPr>
          <w:p w14:paraId="35E3EA59" w14:textId="77777777" w:rsidR="00EE2F43" w:rsidRPr="00EE2F43" w:rsidRDefault="00EE2F43" w:rsidP="00EE2F43">
            <w:r w:rsidRPr="00EE2F43">
              <w:t>Household members living in various suburbs of Harare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03A21D58" w14:textId="77777777" w:rsidR="00EE2F43" w:rsidRPr="00EE2F43" w:rsidRDefault="00EE2F43" w:rsidP="00EE2F43">
            <w:r w:rsidRPr="00EE2F43">
              <w:t>Direct experience of fire incidents and exposure to fire risks in residential areas</w:t>
            </w:r>
          </w:p>
        </w:tc>
      </w:tr>
      <w:tr w:rsidR="00EE2F43" w:rsidRPr="00EE2F43" w14:paraId="6C815995" w14:textId="77777777" w:rsidTr="00EE2F43">
        <w:trPr>
          <w:tblCellSpacing w:w="15" w:type="dxa"/>
        </w:trPr>
        <w:tc>
          <w:tcPr>
            <w:tcW w:w="0" w:type="auto"/>
            <w:tcBorders>
              <w:left w:val="single" w:sz="4" w:space="0" w:color="auto"/>
              <w:right w:val="single" w:sz="4" w:space="0" w:color="auto"/>
            </w:tcBorders>
            <w:vAlign w:val="center"/>
            <w:hideMark/>
          </w:tcPr>
          <w:p w14:paraId="79956FD0" w14:textId="77777777" w:rsidR="00EE2F43" w:rsidRPr="00EE2F43" w:rsidRDefault="00EE2F43" w:rsidP="00EE2F43">
            <w:r w:rsidRPr="00EE2F43">
              <w:t>Fire Brigade Officials</w:t>
            </w:r>
          </w:p>
        </w:tc>
        <w:tc>
          <w:tcPr>
            <w:tcW w:w="0" w:type="auto"/>
            <w:vAlign w:val="center"/>
            <w:hideMark/>
          </w:tcPr>
          <w:p w14:paraId="72C0BE16" w14:textId="77777777" w:rsidR="00EE2F43" w:rsidRDefault="00EE2F43" w:rsidP="00EE2F43">
            <w:r w:rsidRPr="00EE2F43">
              <w:t>Personnel responsible for fire response and emergency management</w:t>
            </w:r>
          </w:p>
          <w:p w14:paraId="74EF7E2A" w14:textId="77777777" w:rsidR="00EE2F43" w:rsidRPr="00EE2F43" w:rsidRDefault="00EE2F43" w:rsidP="00EE2F43"/>
        </w:tc>
        <w:tc>
          <w:tcPr>
            <w:tcW w:w="0" w:type="auto"/>
            <w:tcBorders>
              <w:left w:val="single" w:sz="4" w:space="0" w:color="auto"/>
              <w:right w:val="single" w:sz="4" w:space="0" w:color="auto"/>
            </w:tcBorders>
            <w:vAlign w:val="center"/>
            <w:hideMark/>
          </w:tcPr>
          <w:p w14:paraId="22C7F7FD" w14:textId="77777777" w:rsidR="00EE2F43" w:rsidRPr="00EE2F43" w:rsidRDefault="00EE2F43" w:rsidP="00EE2F43">
            <w:r w:rsidRPr="00EE2F43">
              <w:t>Provide technical insight on fire causes, response capacity, and operational challenges</w:t>
            </w:r>
          </w:p>
        </w:tc>
      </w:tr>
      <w:tr w:rsidR="00EE2F43" w:rsidRPr="00EE2F43" w14:paraId="0CF79636" w14:textId="77777777" w:rsidTr="00EE2F4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569D91" w14:textId="77777777" w:rsidR="00EE2F43" w:rsidRPr="00EE2F43" w:rsidRDefault="00EE2F43" w:rsidP="00EE2F43">
            <w:r w:rsidRPr="00EE2F43">
              <w:t>Town Planning Department Staff</w:t>
            </w:r>
          </w:p>
        </w:tc>
        <w:tc>
          <w:tcPr>
            <w:tcW w:w="0" w:type="auto"/>
            <w:tcBorders>
              <w:top w:val="single" w:sz="4" w:space="0" w:color="auto"/>
              <w:bottom w:val="single" w:sz="4" w:space="0" w:color="auto"/>
            </w:tcBorders>
            <w:vAlign w:val="center"/>
            <w:hideMark/>
          </w:tcPr>
          <w:p w14:paraId="4AE7A801" w14:textId="77777777" w:rsidR="00EE2F43" w:rsidRPr="00EE2F43" w:rsidRDefault="00EE2F43" w:rsidP="00EE2F43">
            <w:r w:rsidRPr="00EE2F43">
              <w:t>Urban planners and regulatory officials</w:t>
            </w:r>
          </w:p>
        </w:tc>
        <w:tc>
          <w:tcPr>
            <w:tcW w:w="0" w:type="auto"/>
            <w:tcBorders>
              <w:top w:val="single" w:sz="4" w:space="0" w:color="auto"/>
              <w:left w:val="single" w:sz="4" w:space="0" w:color="auto"/>
              <w:bottom w:val="single" w:sz="4" w:space="0" w:color="auto"/>
              <w:right w:val="single" w:sz="4" w:space="0" w:color="auto"/>
            </w:tcBorders>
            <w:vAlign w:val="center"/>
            <w:hideMark/>
          </w:tcPr>
          <w:p w14:paraId="34251085" w14:textId="77777777" w:rsidR="00EE2F43" w:rsidRPr="00EE2F43" w:rsidRDefault="00EE2F43" w:rsidP="00EE2F43">
            <w:r w:rsidRPr="00EE2F43">
              <w:t>Responsible for land-use planning, building control, and urban safety regulation</w:t>
            </w:r>
          </w:p>
        </w:tc>
      </w:tr>
      <w:tr w:rsidR="00EE2F43" w:rsidRPr="00EE2F43" w14:paraId="0159BFC4" w14:textId="77777777" w:rsidTr="00EE2F43">
        <w:trPr>
          <w:tblCellSpacing w:w="15" w:type="dxa"/>
        </w:trPr>
        <w:tc>
          <w:tcPr>
            <w:tcW w:w="0" w:type="auto"/>
            <w:tcBorders>
              <w:left w:val="single" w:sz="4" w:space="0" w:color="auto"/>
              <w:bottom w:val="single" w:sz="4" w:space="0" w:color="auto"/>
              <w:right w:val="single" w:sz="4" w:space="0" w:color="auto"/>
            </w:tcBorders>
            <w:vAlign w:val="center"/>
            <w:hideMark/>
          </w:tcPr>
          <w:p w14:paraId="114A4B92" w14:textId="77777777" w:rsidR="00EE2F43" w:rsidRPr="00EE2F43" w:rsidRDefault="00EE2F43" w:rsidP="00EE2F43">
            <w:r w:rsidRPr="00EE2F43">
              <w:t>Community Leaders and Safety Practitioners</w:t>
            </w:r>
          </w:p>
        </w:tc>
        <w:tc>
          <w:tcPr>
            <w:tcW w:w="0" w:type="auto"/>
            <w:tcBorders>
              <w:bottom w:val="single" w:sz="4" w:space="0" w:color="auto"/>
            </w:tcBorders>
            <w:vAlign w:val="center"/>
            <w:hideMark/>
          </w:tcPr>
          <w:p w14:paraId="6A41CB1F" w14:textId="77777777" w:rsidR="00EE2F43" w:rsidRPr="00EE2F43" w:rsidRDefault="00EE2F43" w:rsidP="00EE2F43">
            <w:r w:rsidRPr="00EE2F43">
              <w:t>Local leaders, NGOs, and community safety advocates</w:t>
            </w:r>
          </w:p>
        </w:tc>
        <w:tc>
          <w:tcPr>
            <w:tcW w:w="0" w:type="auto"/>
            <w:tcBorders>
              <w:left w:val="single" w:sz="4" w:space="0" w:color="auto"/>
              <w:bottom w:val="single" w:sz="4" w:space="0" w:color="auto"/>
              <w:right w:val="single" w:sz="4" w:space="0" w:color="auto"/>
            </w:tcBorders>
            <w:vAlign w:val="center"/>
            <w:hideMark/>
          </w:tcPr>
          <w:p w14:paraId="791A4F1B" w14:textId="77777777" w:rsidR="00EE2F43" w:rsidRPr="00EE2F43" w:rsidRDefault="00EE2F43" w:rsidP="00EE2F43">
            <w:r w:rsidRPr="00EE2F43">
              <w:t>Play a role in awareness, mobilisation, and local fire risk prevention initiatives</w:t>
            </w:r>
          </w:p>
        </w:tc>
      </w:tr>
    </w:tbl>
    <w:p w14:paraId="617FCB55" w14:textId="77777777" w:rsidR="00EF1F0D" w:rsidRPr="00EF1F0D" w:rsidRDefault="00EF1F0D" w:rsidP="001E14BF">
      <w:pPr>
        <w:spacing w:line="360" w:lineRule="auto"/>
        <w:jc w:val="both"/>
        <w:rPr>
          <w:bCs/>
          <w:color w:val="000000" w:themeColor="text1"/>
        </w:rPr>
      </w:pPr>
    </w:p>
    <w:p w14:paraId="1B1583B5" w14:textId="6FDC86D2" w:rsidR="00EF1F0D" w:rsidRPr="00EF1F0D" w:rsidRDefault="00EF1F0D" w:rsidP="007C7F70">
      <w:pPr>
        <w:pStyle w:val="Heading3"/>
        <w:spacing w:line="360" w:lineRule="auto"/>
        <w:jc w:val="both"/>
      </w:pPr>
      <w:bookmarkStart w:id="75" w:name="_Toc215652906"/>
      <w:r w:rsidRPr="00EF1F0D">
        <w:t>3.3.2 Sampling Techniques</w:t>
      </w:r>
      <w:bookmarkEnd w:id="75"/>
    </w:p>
    <w:p w14:paraId="08487E51" w14:textId="038FD761" w:rsidR="00EF1F0D" w:rsidRPr="00EF1F0D" w:rsidRDefault="00EF1F0D" w:rsidP="001E14BF">
      <w:pPr>
        <w:spacing w:line="360" w:lineRule="auto"/>
        <w:jc w:val="both"/>
        <w:rPr>
          <w:bCs/>
          <w:color w:val="000000" w:themeColor="text1"/>
        </w:rPr>
      </w:pPr>
      <w:r w:rsidRPr="00EF1F0D">
        <w:rPr>
          <w:bCs/>
          <w:color w:val="000000" w:themeColor="text1"/>
        </w:rPr>
        <w:t>Since there is great diversity in infrastructure and risk, the study has taken Harare and divided it into geographic strata. Households were then selected through random systematic sampling to ensure that representation was drawn from across regions.</w:t>
      </w:r>
      <w:r w:rsidR="00E61F4D">
        <w:rPr>
          <w:bCs/>
          <w:color w:val="000000" w:themeColor="text1"/>
        </w:rPr>
        <w:t xml:space="preserve"> </w:t>
      </w:r>
      <w:r w:rsidRPr="00EF1F0D">
        <w:rPr>
          <w:bCs/>
          <w:color w:val="000000" w:themeColor="text1"/>
        </w:rPr>
        <w:t>Thus, this research selected participants with relevant expertise who were fire officials, planners, safety professionals, and community leaders to yield rich qualitative data because these groups regularly address disaster preparedness and recovery efforts in a variety of ways (Huberman &amp; Miles, 2002).</w:t>
      </w:r>
    </w:p>
    <w:p w14:paraId="60229E2C" w14:textId="77777777" w:rsidR="00EF1F0D" w:rsidRPr="00EF1F0D" w:rsidRDefault="00EF1F0D" w:rsidP="001E14BF">
      <w:pPr>
        <w:pStyle w:val="Heading4"/>
        <w:spacing w:line="360" w:lineRule="auto"/>
        <w:jc w:val="both"/>
      </w:pPr>
    </w:p>
    <w:p w14:paraId="1A285096" w14:textId="77777777" w:rsidR="00B931DB" w:rsidRDefault="00B931DB" w:rsidP="00231445">
      <w:pPr>
        <w:pStyle w:val="NormalWeb"/>
        <w:spacing w:line="360" w:lineRule="auto"/>
        <w:jc w:val="both"/>
      </w:pPr>
      <w:r>
        <w:t xml:space="preserve">Using Yamane’s (1967) formula at a 95% confidence level and 5% margin of error, a target population of 1,200 yields a sample size of </w:t>
      </w:r>
      <w:r>
        <w:rPr>
          <w:rStyle w:val="Strong"/>
          <w:rFonts w:eastAsiaTheme="majorEastAsia"/>
        </w:rPr>
        <w:t>300 respondents</w:t>
      </w:r>
      <w:r>
        <w:t>, which was adopted for this study.</w:t>
      </w:r>
    </w:p>
    <w:p w14:paraId="1898D8C4" w14:textId="53B0C55D" w:rsidR="00B931DB" w:rsidRDefault="00B931DB" w:rsidP="00B931DB">
      <w:pPr>
        <w:pStyle w:val="NormalWeb"/>
      </w:pPr>
      <w:r w:rsidRPr="00B931DB">
        <w:rPr>
          <w:noProof/>
          <w:lang w:val="en-ZW" w:eastAsia="en-ZW"/>
        </w:rPr>
        <w:lastRenderedPageBreak/>
        <w:drawing>
          <wp:inline distT="0" distB="0" distL="0" distR="0" wp14:anchorId="3F906078" wp14:editId="704F94FA">
            <wp:extent cx="3276600" cy="2290301"/>
            <wp:effectExtent l="0" t="0" r="0" b="0"/>
            <wp:docPr id="253690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90116" name=""/>
                    <pic:cNvPicPr/>
                  </pic:nvPicPr>
                  <pic:blipFill>
                    <a:blip r:embed="rId12"/>
                    <a:stretch>
                      <a:fillRect/>
                    </a:stretch>
                  </pic:blipFill>
                  <pic:spPr>
                    <a:xfrm>
                      <a:off x="0" y="0"/>
                      <a:ext cx="3293917" cy="2302406"/>
                    </a:xfrm>
                    <a:prstGeom prst="rect">
                      <a:avLst/>
                    </a:prstGeom>
                  </pic:spPr>
                </pic:pic>
              </a:graphicData>
            </a:graphic>
          </wp:inline>
        </w:drawing>
      </w:r>
    </w:p>
    <w:p w14:paraId="0A1A5308" w14:textId="2C5CD539" w:rsidR="00B931DB" w:rsidRDefault="00B931DB" w:rsidP="00B931DB">
      <w:pPr>
        <w:pStyle w:val="NormalWeb"/>
      </w:pPr>
      <w:r>
        <w:t>n=300</w:t>
      </w:r>
    </w:p>
    <w:p w14:paraId="1FE51790" w14:textId="55939783" w:rsidR="00EF1F0D" w:rsidRPr="00EF1F0D" w:rsidRDefault="00EF1F0D" w:rsidP="001E14BF">
      <w:pPr>
        <w:spacing w:line="360" w:lineRule="auto"/>
        <w:jc w:val="both"/>
        <w:rPr>
          <w:bCs/>
          <w:color w:val="000000" w:themeColor="text1"/>
        </w:rPr>
      </w:pPr>
      <w:r w:rsidRPr="00EF1F0D">
        <w:rPr>
          <w:bCs/>
          <w:color w:val="000000" w:themeColor="text1"/>
        </w:rPr>
        <w:t>For qualitative interviews, 20</w:t>
      </w:r>
      <w:r w:rsidR="00EE2F43">
        <w:rPr>
          <w:bCs/>
          <w:color w:val="000000" w:themeColor="text1"/>
        </w:rPr>
        <w:t xml:space="preserve"> </w:t>
      </w:r>
      <w:r w:rsidRPr="00EF1F0D">
        <w:rPr>
          <w:bCs/>
          <w:color w:val="000000" w:themeColor="text1"/>
        </w:rPr>
        <w:t>key informants were selected or until data saturation was reached.</w:t>
      </w:r>
    </w:p>
    <w:p w14:paraId="3BAC9C57" w14:textId="77777777" w:rsidR="00EF1F0D" w:rsidRPr="00EF1F0D" w:rsidRDefault="00EF1F0D" w:rsidP="001E14BF">
      <w:pPr>
        <w:spacing w:line="360" w:lineRule="auto"/>
        <w:jc w:val="both"/>
        <w:rPr>
          <w:bCs/>
          <w:color w:val="000000" w:themeColor="text1"/>
        </w:rPr>
      </w:pPr>
    </w:p>
    <w:p w14:paraId="67F68D6B" w14:textId="77777777" w:rsidR="00EF1F0D" w:rsidRPr="00EF1F0D" w:rsidRDefault="00EF1F0D" w:rsidP="00394501">
      <w:pPr>
        <w:pStyle w:val="Heading2"/>
      </w:pPr>
      <w:bookmarkStart w:id="76" w:name="_Toc215652907"/>
      <w:r w:rsidRPr="00EF1F0D">
        <w:t>3.4 Data Collection Instruments</w:t>
      </w:r>
      <w:bookmarkEnd w:id="76"/>
    </w:p>
    <w:p w14:paraId="37F8A381" w14:textId="04AA32A1" w:rsidR="00EF1F0D" w:rsidRPr="001E14BF" w:rsidRDefault="00EF1F0D" w:rsidP="001E14BF">
      <w:pPr>
        <w:pStyle w:val="Heading3"/>
        <w:spacing w:line="360" w:lineRule="auto"/>
        <w:jc w:val="both"/>
      </w:pPr>
      <w:bookmarkStart w:id="77" w:name="_Toc215652908"/>
      <w:r w:rsidRPr="00EF1F0D">
        <w:t>3.4.1 Quantitative Instruments</w:t>
      </w:r>
      <w:bookmarkEnd w:id="77"/>
    </w:p>
    <w:p w14:paraId="59363EDA" w14:textId="37683F1B" w:rsidR="00EF1F0D" w:rsidRPr="00231445" w:rsidRDefault="00E61F4D" w:rsidP="001E14BF">
      <w:pPr>
        <w:spacing w:line="360" w:lineRule="auto"/>
        <w:jc w:val="both"/>
        <w:rPr>
          <w:bCs/>
          <w:color w:val="EE0000"/>
        </w:rPr>
      </w:pPr>
      <w:r w:rsidRPr="00231445">
        <w:rPr>
          <w:color w:val="EE0000"/>
        </w:rPr>
        <w:t xml:space="preserve">The study used </w:t>
      </w:r>
      <w:r w:rsidRPr="00231445">
        <w:rPr>
          <w:rStyle w:val="Strong"/>
          <w:b w:val="0"/>
          <w:bCs w:val="0"/>
          <w:color w:val="EE0000"/>
        </w:rPr>
        <w:t>structured questionnaires with closed-ended questions</w:t>
      </w:r>
      <w:r w:rsidRPr="00231445">
        <w:rPr>
          <w:color w:val="EE0000"/>
        </w:rPr>
        <w:t xml:space="preserve"> to collect numerical data from residents and relevant stakeholders. The questionnaires captured information on fire incidence experience, perceived causes of fire hazards, and awareness of fire safety measures. The instruments were pilot-tested to improve clarity, reliability, and validity before full deployment. In addition, </w:t>
      </w:r>
      <w:r w:rsidRPr="00231445">
        <w:rPr>
          <w:rStyle w:val="Strong"/>
          <w:b w:val="0"/>
          <w:bCs w:val="0"/>
          <w:color w:val="EE0000"/>
        </w:rPr>
        <w:t>secondary data</w:t>
      </w:r>
      <w:r w:rsidRPr="00231445">
        <w:rPr>
          <w:color w:val="EE0000"/>
        </w:rPr>
        <w:t xml:space="preserve"> on fire incidents, causes, and locations were obtained from official records provided by the Harare Fire Brigade and other relevant institutions.</w:t>
      </w:r>
    </w:p>
    <w:p w14:paraId="15089193" w14:textId="1064FD98" w:rsidR="00EF1F0D" w:rsidRPr="001E14BF" w:rsidRDefault="00EF1F0D" w:rsidP="00CB4BBD">
      <w:pPr>
        <w:pStyle w:val="Heading3"/>
        <w:spacing w:after="0" w:line="360" w:lineRule="auto"/>
        <w:jc w:val="both"/>
      </w:pPr>
      <w:bookmarkStart w:id="78" w:name="_Toc215652909"/>
      <w:r w:rsidRPr="00EF1F0D">
        <w:t>3.4.2 Qualitative Instruments</w:t>
      </w:r>
      <w:bookmarkEnd w:id="78"/>
    </w:p>
    <w:p w14:paraId="64C626E1" w14:textId="770C695D" w:rsidR="00E61F4D" w:rsidRPr="00CB4BBD" w:rsidRDefault="00E61F4D" w:rsidP="00CB4BBD">
      <w:pPr>
        <w:pStyle w:val="NormalWeb"/>
        <w:spacing w:before="0" w:beforeAutospacing="0" w:line="360" w:lineRule="auto"/>
        <w:jc w:val="both"/>
      </w:pPr>
      <w:bookmarkStart w:id="79" w:name="_Toc215652910"/>
      <w:r w:rsidRPr="00CB4BBD">
        <w:t xml:space="preserve">Qualitative data were collected using </w:t>
      </w:r>
      <w:r w:rsidRPr="00CB4BBD">
        <w:rPr>
          <w:rStyle w:val="Strong"/>
          <w:rFonts w:eastAsiaTheme="majorEastAsia"/>
          <w:b w:val="0"/>
          <w:bCs w:val="0"/>
        </w:rPr>
        <w:t>semi-structured interviews</w:t>
      </w:r>
      <w:r w:rsidRPr="00CB4BBD">
        <w:rPr>
          <w:b/>
          <w:bCs/>
        </w:rPr>
        <w:t xml:space="preserve"> </w:t>
      </w:r>
      <w:r w:rsidRPr="00CB4BBD">
        <w:t xml:space="preserve">and </w:t>
      </w:r>
      <w:r w:rsidRPr="00CB4BBD">
        <w:rPr>
          <w:rStyle w:val="Strong"/>
          <w:rFonts w:eastAsiaTheme="majorEastAsia"/>
          <w:b w:val="0"/>
          <w:bCs w:val="0"/>
        </w:rPr>
        <w:t>focus group discussions (FGDs)</w:t>
      </w:r>
      <w:r w:rsidRPr="00CB4BBD">
        <w:t xml:space="preserve"> with key informants, including fire brigade officials, town planning staff, and community leaders. These tools allowed for in-depth exploration of fire risk drivers, institutional challenges, and community experiences. Interview guides ensured consistency while allowing flexibility for participants to elaborate on key issues. All data collection procedures adhered to ethical standards, including </w:t>
      </w:r>
      <w:r w:rsidRPr="00CB4BBD">
        <w:rPr>
          <w:rStyle w:val="Strong"/>
          <w:rFonts w:eastAsiaTheme="majorEastAsia"/>
          <w:b w:val="0"/>
          <w:bCs w:val="0"/>
        </w:rPr>
        <w:t>informed consent, confidentiality, anonymity, and voluntary participation</w:t>
      </w:r>
      <w:r w:rsidRPr="00CB4BBD">
        <w:t xml:space="preserve"> (Stadnick et al., 2021; Williams et al., 2021).</w:t>
      </w:r>
    </w:p>
    <w:p w14:paraId="786B5CDB" w14:textId="6B883D5A" w:rsidR="00EF1F0D" w:rsidRPr="001E14BF" w:rsidRDefault="00EF1F0D" w:rsidP="001E14BF">
      <w:pPr>
        <w:pStyle w:val="Heading3"/>
        <w:spacing w:line="360" w:lineRule="auto"/>
        <w:jc w:val="both"/>
      </w:pPr>
      <w:r w:rsidRPr="00EF1F0D">
        <w:lastRenderedPageBreak/>
        <w:t>3.5 Methods for Data Analysis</w:t>
      </w:r>
      <w:bookmarkEnd w:id="79"/>
    </w:p>
    <w:p w14:paraId="7CBA2AE7" w14:textId="77777777" w:rsidR="00F5553A" w:rsidRPr="00E61F4D" w:rsidRDefault="00EF1F0D" w:rsidP="007C7F70">
      <w:pPr>
        <w:spacing w:line="360" w:lineRule="auto"/>
        <w:jc w:val="both"/>
        <w:rPr>
          <w:b/>
          <w:color w:val="000000" w:themeColor="text1"/>
        </w:rPr>
      </w:pPr>
      <w:r w:rsidRPr="00E61F4D">
        <w:rPr>
          <w:b/>
          <w:color w:val="000000" w:themeColor="text1"/>
        </w:rPr>
        <w:t xml:space="preserve">3.5.1 Quantitative Analysis </w:t>
      </w:r>
    </w:p>
    <w:p w14:paraId="5C9A8208" w14:textId="77777777" w:rsidR="001F69FF" w:rsidRDefault="001F69FF" w:rsidP="007C7F70">
      <w:pPr>
        <w:spacing w:line="360" w:lineRule="auto"/>
        <w:jc w:val="both"/>
      </w:pPr>
      <w:r>
        <w:t xml:space="preserve">Quantitative data from questionnaires were </w:t>
      </w:r>
      <w:r w:rsidRPr="00E61F4D">
        <w:rPr>
          <w:rStyle w:val="Strong"/>
          <w:b w:val="0"/>
          <w:bCs w:val="0"/>
        </w:rPr>
        <w:t>coded, entered, and cleaned using SPSS</w:t>
      </w:r>
      <w:r>
        <w:t xml:space="preserve">. The analysis involved </w:t>
      </w:r>
      <w:r w:rsidRPr="00E61F4D">
        <w:rPr>
          <w:rStyle w:val="Strong"/>
          <w:b w:val="0"/>
          <w:bCs w:val="0"/>
        </w:rPr>
        <w:t>descriptive statistics</w:t>
      </w:r>
      <w:r>
        <w:t xml:space="preserve"> (frequencies, percentages, and charts) to summarise patterns of fire hazards and their causes. Where appropriate, </w:t>
      </w:r>
      <w:r w:rsidRPr="00E61F4D">
        <w:rPr>
          <w:rStyle w:val="Strong"/>
          <w:b w:val="0"/>
          <w:bCs w:val="0"/>
        </w:rPr>
        <w:t>inferential statistics</w:t>
      </w:r>
      <w:r>
        <w:t xml:space="preserve"> were applied to examine relationships between variables. In addition, </w:t>
      </w:r>
      <w:r w:rsidRPr="00E61F4D">
        <w:rPr>
          <w:rStyle w:val="Strong"/>
          <w:b w:val="0"/>
          <w:bCs w:val="0"/>
        </w:rPr>
        <w:t>Geographic Information Systems (GIS)</w:t>
      </w:r>
      <w:r>
        <w:t xml:space="preserve"> were used to map and visualise spatial patterns of fire hotspots across Harare.</w:t>
      </w:r>
    </w:p>
    <w:p w14:paraId="7B32D1CD" w14:textId="77777777" w:rsidR="0027269A" w:rsidRDefault="0027269A" w:rsidP="007C7F70">
      <w:pPr>
        <w:spacing w:line="360" w:lineRule="auto"/>
        <w:jc w:val="both"/>
        <w:rPr>
          <w:b/>
          <w:color w:val="000000" w:themeColor="text1"/>
        </w:rPr>
      </w:pPr>
    </w:p>
    <w:p w14:paraId="21D796D8" w14:textId="77777777" w:rsidR="0027269A" w:rsidRDefault="00EF1F0D" w:rsidP="0027269A">
      <w:pPr>
        <w:spacing w:line="360" w:lineRule="auto"/>
        <w:jc w:val="both"/>
        <w:rPr>
          <w:b/>
          <w:color w:val="000000" w:themeColor="text1"/>
        </w:rPr>
      </w:pPr>
      <w:r w:rsidRPr="00E61F4D">
        <w:rPr>
          <w:b/>
          <w:color w:val="000000" w:themeColor="text1"/>
        </w:rPr>
        <w:t xml:space="preserve">3.5.2 Qualitative Analysis </w:t>
      </w:r>
    </w:p>
    <w:p w14:paraId="04BCF87E" w14:textId="01472809" w:rsidR="001F69FF" w:rsidRPr="0027269A" w:rsidRDefault="001F69FF" w:rsidP="0027269A">
      <w:pPr>
        <w:spacing w:line="360" w:lineRule="auto"/>
        <w:jc w:val="both"/>
        <w:rPr>
          <w:b/>
          <w:color w:val="000000" w:themeColor="text1"/>
        </w:rPr>
      </w:pPr>
      <w:r>
        <w:t xml:space="preserve">Qualitative data from interviews and FGDs were </w:t>
      </w:r>
      <w:r w:rsidRPr="00E61F4D">
        <w:rPr>
          <w:rStyle w:val="Strong"/>
          <w:rFonts w:eastAsiaTheme="majorEastAsia"/>
          <w:b w:val="0"/>
          <w:bCs w:val="0"/>
        </w:rPr>
        <w:t>audio-recorded, transcribed verbatim, anonymised, and analysed using thematic analysis</w:t>
      </w:r>
      <w:r>
        <w:t xml:space="preserve"> following Braun and Clarke (2006). The analysis involved identifying, coding, and categorising recurring themes related to fire causes, impacts, and institutional response capacity. Triangulation was used to compare qualitative findings with quantitative results to improve validity and depth of interpretation.</w:t>
      </w:r>
    </w:p>
    <w:p w14:paraId="1B06D519" w14:textId="49AD5855" w:rsidR="001F69FF" w:rsidRPr="001F69FF" w:rsidRDefault="00E61F4D" w:rsidP="001F69FF">
      <w:pPr>
        <w:spacing w:before="100" w:beforeAutospacing="1" w:after="100" w:afterAutospacing="1"/>
        <w:outlineLvl w:val="1"/>
        <w:rPr>
          <w:b/>
          <w:bCs/>
        </w:rPr>
      </w:pPr>
      <w:r w:rsidRPr="00E61F4D">
        <w:rPr>
          <w:b/>
          <w:bCs/>
        </w:rPr>
        <w:t xml:space="preserve">3.6 </w:t>
      </w:r>
      <w:r w:rsidR="001F69FF" w:rsidRPr="001F69FF">
        <w:rPr>
          <w:b/>
          <w:bCs/>
        </w:rPr>
        <w:t>Ethical Considerations</w:t>
      </w:r>
    </w:p>
    <w:p w14:paraId="7029E457" w14:textId="77777777" w:rsidR="001F69FF" w:rsidRPr="001F69FF" w:rsidRDefault="001F69FF" w:rsidP="0027269A">
      <w:pPr>
        <w:spacing w:before="100" w:beforeAutospacing="1" w:after="100" w:afterAutospacing="1" w:line="360" w:lineRule="auto"/>
        <w:jc w:val="both"/>
      </w:pPr>
      <w:r w:rsidRPr="001F69FF">
        <w:t>This study adhered to established ethical principles governing research involving human participants. Prior to data collection, informed consent was obtained from all participants after clearly explaining the purpose of the study, procedures, and their right to withdraw at any time without penalty. Participation was entirely voluntary. Confidentiality and anonymity were strictly maintained by ensuring that no personal identifiers were recorded in the data sets or reported findings. Data collected were securely stored and accessed only by the researcher. Permission to conduct the study was also sought from relevant authorities, including local administrative and institutional gatekeepers. Ethical conduct was maintained throughout the research process in line with standard academic research ethics.</w:t>
      </w:r>
    </w:p>
    <w:p w14:paraId="341C4E47" w14:textId="77777777" w:rsidR="0027269A" w:rsidRDefault="001F69FF" w:rsidP="0027269A">
      <w:pPr>
        <w:spacing w:before="100" w:beforeAutospacing="1" w:line="360" w:lineRule="auto"/>
        <w:outlineLvl w:val="1"/>
        <w:rPr>
          <w:b/>
          <w:bCs/>
        </w:rPr>
      </w:pPr>
      <w:r w:rsidRPr="001F69FF">
        <w:rPr>
          <w:b/>
          <w:bCs/>
        </w:rPr>
        <w:t>3.7 Limitations of the Study</w:t>
      </w:r>
    </w:p>
    <w:p w14:paraId="6373F0AD" w14:textId="7DE77910" w:rsidR="001F69FF" w:rsidRPr="0027269A" w:rsidRDefault="001F69FF" w:rsidP="0027269A">
      <w:pPr>
        <w:spacing w:line="360" w:lineRule="auto"/>
        <w:jc w:val="both"/>
        <w:rPr>
          <w:b/>
          <w:bCs/>
        </w:rPr>
      </w:pPr>
      <w:r w:rsidRPr="001F69FF">
        <w:t xml:space="preserve">This study was subject to several limitations. Firstly, the mixed methods design, while providing comprehensive insights, was time-consuming and resource-intensive, particularly in integrating quantitative and qualitative data. Secondly, the study was geographically limited to Harare City, which may reduce the generalisability of the findings to other urban areas in Zimbabwe or beyond. </w:t>
      </w:r>
      <w:r w:rsidRPr="001F69FF">
        <w:lastRenderedPageBreak/>
        <w:t>Thirdly, reliance on self-reported data from questionnaires and interviews may introduce response bias, as participants may underreport or overstate certain experiences related to fire incidents. Additionally, access to some official fire records was constrained, which may have limited the depth of secondary data analysis. Despite these limitations, triangulation of data sources was used to enhance the reliability and validity of the findings.</w:t>
      </w:r>
    </w:p>
    <w:p w14:paraId="20AE644C" w14:textId="772C4AF5" w:rsidR="00003D92" w:rsidRPr="00112F64" w:rsidRDefault="00003D92" w:rsidP="0027269A">
      <w:pPr>
        <w:pStyle w:val="Heading3"/>
        <w:spacing w:line="360" w:lineRule="auto"/>
        <w:jc w:val="both"/>
      </w:pPr>
      <w:bookmarkStart w:id="80" w:name="_Toc215652915"/>
      <w:r>
        <w:t>3.8</w:t>
      </w:r>
      <w:r w:rsidRPr="00112F64">
        <w:t xml:space="preserve"> Data Cleaning</w:t>
      </w:r>
      <w:bookmarkEnd w:id="80"/>
    </w:p>
    <w:p w14:paraId="5D4A80BD" w14:textId="77777777" w:rsidR="00003D92" w:rsidRPr="00112F64" w:rsidRDefault="00003D92" w:rsidP="00003D92">
      <w:pPr>
        <w:spacing w:line="360" w:lineRule="auto"/>
        <w:jc w:val="both"/>
      </w:pPr>
      <w:r w:rsidRPr="00112F64">
        <w:t xml:space="preserve">Questionnaire data cleaning procedures used to assess fire hazard impacts in Harare City included handling missing values through case wise deletion for extensive missingness and imputation for common patterns, while preserving sample representativeness. Open-ended responses were coded via an iterative framework with independent coders to ensure reliability, and consistency checks were used to identify and address logical inconsistencies and data entry issues. </w:t>
      </w:r>
    </w:p>
    <w:p w14:paraId="0E39B74B" w14:textId="77777777" w:rsidR="00003D92" w:rsidRPr="00112F64" w:rsidRDefault="00003D92" w:rsidP="00003D92">
      <w:pPr>
        <w:spacing w:line="360" w:lineRule="auto"/>
        <w:jc w:val="both"/>
      </w:pPr>
    </w:p>
    <w:p w14:paraId="34C3385A" w14:textId="0E069FFD" w:rsidR="00003D92" w:rsidRDefault="00003D92" w:rsidP="006364E2">
      <w:pPr>
        <w:spacing w:line="360" w:lineRule="auto"/>
        <w:jc w:val="both"/>
      </w:pPr>
      <w:r w:rsidRPr="00112F64">
        <w:t xml:space="preserve">Standardisation of fire incident records involved ensuring consistent date formats, uniform incident classification, and standardized location names across all records. Dates were standardized to enable reliable temporal analyses, while incident classifications were harmonised into predefined categories which are residential, commercial, industrial, market, dumpsites, veld and home industry fires to facilitate comparability and aggregation. </w:t>
      </w:r>
    </w:p>
    <w:p w14:paraId="0FD86CE8" w14:textId="77777777" w:rsidR="006364E2" w:rsidRPr="00E61F4D" w:rsidRDefault="006364E2" w:rsidP="006364E2">
      <w:pPr>
        <w:spacing w:line="360" w:lineRule="auto"/>
        <w:jc w:val="both"/>
      </w:pPr>
    </w:p>
    <w:p w14:paraId="2CE5FC23" w14:textId="77777777" w:rsidR="006364E2" w:rsidRDefault="00EF1F0D" w:rsidP="006364E2">
      <w:pPr>
        <w:pStyle w:val="Heading3"/>
      </w:pPr>
      <w:r w:rsidRPr="00E61F4D">
        <w:t>3.</w:t>
      </w:r>
      <w:r w:rsidR="00003D92">
        <w:t>9</w:t>
      </w:r>
      <w:r w:rsidRPr="00E61F4D">
        <w:t xml:space="preserve"> Summary </w:t>
      </w:r>
    </w:p>
    <w:p w14:paraId="63F0E728" w14:textId="68129B8A" w:rsidR="00E61F4D" w:rsidRPr="006364E2" w:rsidRDefault="00E61F4D" w:rsidP="006364E2">
      <w:pPr>
        <w:spacing w:line="360" w:lineRule="auto"/>
        <w:jc w:val="both"/>
        <w:rPr>
          <w:b/>
          <w:color w:val="000000" w:themeColor="text1"/>
        </w:rPr>
      </w:pPr>
      <w:r>
        <w:t>This chapter outlined the research methodology used to examine urban fire hazards in Harare City. The study was guided by a pragmatist paradigm and adopted a mixed methods research design, combining quantitative and qualitative approaches to ensure a comprehensive analysis of fire risk dynamics. Data were collected using structured questionnaires, semi-structured interviews, focus group discussions, and secondary data from official fire records. Stratified random sampling and purposive sampling techniques were used to ensure both representativeness and expert input from key stakeholders, including residents, fire brigade officials, town planning staff, and community leaders. Quantitative data were analysed using SPSS for descriptive and inferential statistics</w:t>
      </w:r>
      <w:r w:rsidR="00211B73">
        <w:t xml:space="preserve">. </w:t>
      </w:r>
      <w:r>
        <w:t xml:space="preserve">Qualitative data were analysed thematically using Braun and Clarke’s framework, with triangulation applied to integrate findings from multiple sources. Ethical considerations such as informed consent, confidentiality, and voluntary participation were strictly observed throughout </w:t>
      </w:r>
      <w:r>
        <w:lastRenderedPageBreak/>
        <w:t>the study. Although the study faced limitations related to scope, resources, and generalisability, these were mitigated through methodological triangulation. Overall, the methodology provided a robust framework for assessing the causes, impacts, and mitigation of fire hazards in Harare City.</w:t>
      </w:r>
      <w:bookmarkStart w:id="81" w:name="_Hlk215434731"/>
      <w:bookmarkStart w:id="82" w:name="_Toc215652911"/>
      <w:bookmarkEnd w:id="81"/>
    </w:p>
    <w:p w14:paraId="6B8B2476" w14:textId="77777777" w:rsidR="00E61F4D" w:rsidRDefault="00E61F4D" w:rsidP="00E61F4D">
      <w:pPr>
        <w:pStyle w:val="NormalWeb"/>
        <w:spacing w:line="360" w:lineRule="auto"/>
      </w:pPr>
    </w:p>
    <w:p w14:paraId="07EB87E9" w14:textId="77777777" w:rsidR="00E61F4D" w:rsidRDefault="00E61F4D" w:rsidP="00E61F4D">
      <w:pPr>
        <w:pStyle w:val="NormalWeb"/>
        <w:spacing w:line="360" w:lineRule="auto"/>
      </w:pPr>
    </w:p>
    <w:p w14:paraId="5F198B10" w14:textId="77777777" w:rsidR="00E61F4D" w:rsidRDefault="00E61F4D" w:rsidP="00E61F4D">
      <w:pPr>
        <w:pStyle w:val="NormalWeb"/>
        <w:spacing w:line="360" w:lineRule="auto"/>
      </w:pPr>
    </w:p>
    <w:p w14:paraId="71ECF95A" w14:textId="77777777" w:rsidR="00E61F4D" w:rsidRDefault="00E61F4D" w:rsidP="00E61F4D">
      <w:pPr>
        <w:pStyle w:val="NormalWeb"/>
        <w:spacing w:line="360" w:lineRule="auto"/>
      </w:pPr>
    </w:p>
    <w:p w14:paraId="0BE206EE" w14:textId="77777777" w:rsidR="00E61F4D" w:rsidRDefault="00E61F4D" w:rsidP="00E61F4D">
      <w:pPr>
        <w:pStyle w:val="NormalWeb"/>
        <w:spacing w:line="360" w:lineRule="auto"/>
      </w:pPr>
    </w:p>
    <w:p w14:paraId="59AE42BE" w14:textId="77777777" w:rsidR="00E61F4D" w:rsidRDefault="00E61F4D" w:rsidP="00E61F4D">
      <w:pPr>
        <w:pStyle w:val="NormalWeb"/>
        <w:spacing w:line="360" w:lineRule="auto"/>
      </w:pPr>
    </w:p>
    <w:p w14:paraId="6AD4415A" w14:textId="77777777" w:rsidR="00E61F4D" w:rsidRDefault="00E61F4D" w:rsidP="00E61F4D">
      <w:pPr>
        <w:pStyle w:val="NormalWeb"/>
        <w:spacing w:line="360" w:lineRule="auto"/>
      </w:pPr>
    </w:p>
    <w:p w14:paraId="7123149E" w14:textId="77777777" w:rsidR="00E61F4D" w:rsidRDefault="00E61F4D" w:rsidP="00E61F4D">
      <w:pPr>
        <w:pStyle w:val="NormalWeb"/>
        <w:spacing w:line="360" w:lineRule="auto"/>
      </w:pPr>
    </w:p>
    <w:p w14:paraId="0B5D21C5" w14:textId="77777777" w:rsidR="00E61F4D" w:rsidRDefault="00E61F4D" w:rsidP="00E61F4D">
      <w:pPr>
        <w:pStyle w:val="NormalWeb"/>
        <w:spacing w:line="360" w:lineRule="auto"/>
      </w:pPr>
    </w:p>
    <w:p w14:paraId="0BE6A3B2" w14:textId="77777777" w:rsidR="00E61F4D" w:rsidRDefault="00E61F4D" w:rsidP="00E61F4D">
      <w:pPr>
        <w:pStyle w:val="NormalWeb"/>
        <w:spacing w:line="360" w:lineRule="auto"/>
      </w:pPr>
    </w:p>
    <w:p w14:paraId="0C606E01" w14:textId="77777777" w:rsidR="00E61F4D" w:rsidRDefault="00E61F4D" w:rsidP="00E61F4D">
      <w:pPr>
        <w:pStyle w:val="NormalWeb"/>
        <w:spacing w:line="360" w:lineRule="auto"/>
      </w:pPr>
    </w:p>
    <w:p w14:paraId="513F652F" w14:textId="77777777" w:rsidR="00E61F4D" w:rsidRDefault="00E61F4D" w:rsidP="00E61F4D">
      <w:pPr>
        <w:pStyle w:val="NormalWeb"/>
        <w:spacing w:line="360" w:lineRule="auto"/>
      </w:pPr>
    </w:p>
    <w:p w14:paraId="586DE59E" w14:textId="77777777" w:rsidR="00E61F4D" w:rsidRDefault="00E61F4D" w:rsidP="00E61F4D">
      <w:pPr>
        <w:pStyle w:val="NormalWeb"/>
        <w:spacing w:line="360" w:lineRule="auto"/>
      </w:pPr>
    </w:p>
    <w:p w14:paraId="52314621" w14:textId="77777777" w:rsidR="00E61F4D" w:rsidRDefault="00E61F4D" w:rsidP="00E61F4D">
      <w:pPr>
        <w:pStyle w:val="NormalWeb"/>
        <w:spacing w:line="360" w:lineRule="auto"/>
      </w:pPr>
    </w:p>
    <w:p w14:paraId="3831AB0B" w14:textId="77777777" w:rsidR="00E61F4D" w:rsidRDefault="00E61F4D" w:rsidP="00E61F4D">
      <w:pPr>
        <w:pStyle w:val="NormalWeb"/>
        <w:spacing w:line="360" w:lineRule="auto"/>
      </w:pPr>
    </w:p>
    <w:p w14:paraId="72618DC0" w14:textId="77777777" w:rsidR="00E61F4D" w:rsidRDefault="00E61F4D" w:rsidP="00E61F4D">
      <w:pPr>
        <w:pStyle w:val="NormalWeb"/>
        <w:spacing w:line="360" w:lineRule="auto"/>
      </w:pPr>
    </w:p>
    <w:p w14:paraId="344C7CCE" w14:textId="77777777" w:rsidR="00E61F4D" w:rsidRDefault="00E61F4D" w:rsidP="00E61F4D">
      <w:pPr>
        <w:pStyle w:val="NormalWeb"/>
        <w:spacing w:line="360" w:lineRule="auto"/>
      </w:pPr>
    </w:p>
    <w:p w14:paraId="64B40DC5" w14:textId="2388059F" w:rsidR="00112F64" w:rsidRPr="00E61F4D" w:rsidRDefault="00112F64" w:rsidP="00E61F4D">
      <w:pPr>
        <w:pStyle w:val="NormalWeb"/>
        <w:spacing w:line="360" w:lineRule="auto"/>
        <w:ind w:left="2160" w:firstLine="720"/>
        <w:rPr>
          <w:b/>
          <w:bCs/>
          <w:sz w:val="28"/>
          <w:szCs w:val="28"/>
        </w:rPr>
      </w:pPr>
      <w:r w:rsidRPr="00E61F4D">
        <w:rPr>
          <w:b/>
          <w:bCs/>
          <w:sz w:val="28"/>
          <w:szCs w:val="28"/>
        </w:rPr>
        <w:lastRenderedPageBreak/>
        <w:t>Chapter 4</w:t>
      </w:r>
      <w:bookmarkEnd w:id="82"/>
    </w:p>
    <w:p w14:paraId="7ACDA32F" w14:textId="74B8AFE7" w:rsidR="00112F64" w:rsidRDefault="00112F64" w:rsidP="006C3EB9">
      <w:pPr>
        <w:pStyle w:val="Heading1"/>
      </w:pPr>
      <w:bookmarkStart w:id="83" w:name="_Toc215652912"/>
      <w:r w:rsidRPr="00112F64">
        <w:t>Data Analysis, Findings, and Discussion</w:t>
      </w:r>
      <w:bookmarkEnd w:id="83"/>
    </w:p>
    <w:p w14:paraId="1C56C064" w14:textId="77777777" w:rsidR="002B358B" w:rsidRPr="002B358B" w:rsidRDefault="002B358B" w:rsidP="002B358B"/>
    <w:p w14:paraId="3DFA3F94" w14:textId="77777777" w:rsidR="00112F64" w:rsidRPr="00112F64" w:rsidRDefault="00112F64" w:rsidP="002B358B">
      <w:pPr>
        <w:pStyle w:val="Heading3"/>
        <w:jc w:val="both"/>
      </w:pPr>
      <w:bookmarkStart w:id="84" w:name="_Toc215652913"/>
      <w:r w:rsidRPr="00112F64">
        <w:t>4.1 Introduction</w:t>
      </w:r>
      <w:bookmarkEnd w:id="84"/>
    </w:p>
    <w:p w14:paraId="0B7B6E87" w14:textId="44DE0076" w:rsidR="00112F64" w:rsidRPr="00211B73" w:rsidRDefault="00003D92" w:rsidP="006364E2">
      <w:pPr>
        <w:pStyle w:val="NormalWeb"/>
        <w:spacing w:line="360" w:lineRule="auto"/>
        <w:jc w:val="both"/>
      </w:pPr>
      <w:r>
        <w:t>This chapter presents the results of the study on urban fire hazards in Harare City. The findings are organised in line with the study objectives, focusing on the causes of fire hazards, their socioeconomic and infrastructural impacts, and the effectiveness of existing fire prevention and response mechanisms. The results are derived from both quantitative and qualitative data collected through questionnaires, interviews, focus group discussions, secondary fire records, and GIS analysis. Quantitative findings are presented using descriptive and inferential statistics, while qualitative findings are organised thematically to capture stakeholder perspectives and lived experiences. Where appropriate, the findings are triangulated to enhance validity and provide a more comprehensive understanding of urban fire risk dynamics in Harare. The chapter begins with an overview of respondent characteristics before presenting results aligned to each research objective.</w:t>
      </w:r>
    </w:p>
    <w:p w14:paraId="6817D4EF" w14:textId="77777777" w:rsidR="00112F64" w:rsidRPr="00112F64" w:rsidRDefault="00112F64" w:rsidP="002B358B">
      <w:pPr>
        <w:pStyle w:val="Heading3"/>
        <w:jc w:val="both"/>
      </w:pPr>
    </w:p>
    <w:p w14:paraId="7550BB2C" w14:textId="77777777" w:rsidR="00112F64" w:rsidRPr="00112F64" w:rsidRDefault="00112F64" w:rsidP="002B358B">
      <w:pPr>
        <w:pStyle w:val="Heading3"/>
        <w:jc w:val="both"/>
        <w:rPr>
          <w:bCs/>
        </w:rPr>
      </w:pPr>
      <w:bookmarkStart w:id="85" w:name="_Toc215652916"/>
      <w:r w:rsidRPr="00112F64">
        <w:rPr>
          <w:bCs/>
        </w:rPr>
        <w:t>4.2.2 Variable Construction</w:t>
      </w:r>
      <w:bookmarkEnd w:id="85"/>
    </w:p>
    <w:p w14:paraId="35298BD5" w14:textId="77777777" w:rsidR="00112F64" w:rsidRPr="00112F64" w:rsidRDefault="00112F64" w:rsidP="002B358B">
      <w:pPr>
        <w:spacing w:line="360" w:lineRule="auto"/>
        <w:jc w:val="both"/>
        <w:rPr>
          <w:b/>
          <w:bCs/>
        </w:rPr>
      </w:pPr>
      <w:r w:rsidRPr="00112F64">
        <w:rPr>
          <w:b/>
          <w:bCs/>
        </w:rPr>
        <w:t>Variable definitions:</w:t>
      </w:r>
    </w:p>
    <w:p w14:paraId="15E6462B" w14:textId="77777777" w:rsidR="00112F64" w:rsidRPr="00112F64" w:rsidRDefault="00112F64">
      <w:pPr>
        <w:numPr>
          <w:ilvl w:val="0"/>
          <w:numId w:val="8"/>
        </w:numPr>
        <w:spacing w:line="360" w:lineRule="auto"/>
        <w:contextualSpacing/>
        <w:jc w:val="both"/>
        <w:rPr>
          <w:b/>
          <w:bCs/>
        </w:rPr>
      </w:pPr>
      <w:r w:rsidRPr="00112F64">
        <w:rPr>
          <w:b/>
          <w:bCs/>
        </w:rPr>
        <w:t>Commercial fire</w:t>
      </w:r>
    </w:p>
    <w:p w14:paraId="3E1EA6A7" w14:textId="77777777" w:rsidR="00112F64" w:rsidRPr="00112F64" w:rsidRDefault="00112F64" w:rsidP="002B358B">
      <w:pPr>
        <w:spacing w:line="360" w:lineRule="auto"/>
        <w:ind w:left="360"/>
        <w:jc w:val="both"/>
      </w:pPr>
      <w:r w:rsidRPr="00112F64">
        <w:t>These are fires occurring in commercial establishments such as shops, offices, restaurants, and malls. They often involve mixed-use occupancies and may require coordinated suppression and evacuation due to high occupant density and valuable assets.</w:t>
      </w:r>
    </w:p>
    <w:p w14:paraId="38EC3600" w14:textId="77777777" w:rsidR="00112F64" w:rsidRPr="00112F64" w:rsidRDefault="00112F64">
      <w:pPr>
        <w:numPr>
          <w:ilvl w:val="0"/>
          <w:numId w:val="8"/>
        </w:numPr>
        <w:spacing w:line="360" w:lineRule="auto"/>
        <w:contextualSpacing/>
        <w:jc w:val="both"/>
        <w:rPr>
          <w:b/>
          <w:bCs/>
        </w:rPr>
      </w:pPr>
      <w:r w:rsidRPr="00112F64">
        <w:rPr>
          <w:b/>
          <w:bCs/>
        </w:rPr>
        <w:t>Domestic fire</w:t>
      </w:r>
    </w:p>
    <w:p w14:paraId="58E075F7" w14:textId="77777777" w:rsidR="00112F64" w:rsidRPr="00112F64" w:rsidRDefault="00112F64" w:rsidP="002B358B">
      <w:pPr>
        <w:spacing w:line="360" w:lineRule="auto"/>
        <w:ind w:left="360"/>
        <w:jc w:val="both"/>
      </w:pPr>
      <w:r w:rsidRPr="00112F64">
        <w:t>These are fires that start in residential settings, including houses and apartments. They pose risks to occupants and focus on personal safety, early detection, and rapid evacuation.</w:t>
      </w:r>
    </w:p>
    <w:p w14:paraId="361A6803" w14:textId="77777777" w:rsidR="00112F64" w:rsidRPr="00112F64" w:rsidRDefault="00112F64">
      <w:pPr>
        <w:numPr>
          <w:ilvl w:val="0"/>
          <w:numId w:val="8"/>
        </w:numPr>
        <w:spacing w:line="360" w:lineRule="auto"/>
        <w:contextualSpacing/>
        <w:jc w:val="both"/>
        <w:rPr>
          <w:b/>
          <w:bCs/>
        </w:rPr>
      </w:pPr>
      <w:r w:rsidRPr="00112F64">
        <w:rPr>
          <w:b/>
          <w:bCs/>
        </w:rPr>
        <w:t>Industrial fire</w:t>
      </w:r>
    </w:p>
    <w:p w14:paraId="2E15086B" w14:textId="77777777" w:rsidR="00112F64" w:rsidRPr="00112F64" w:rsidRDefault="00112F64" w:rsidP="002B358B">
      <w:pPr>
        <w:spacing w:line="360" w:lineRule="auto"/>
        <w:ind w:left="360"/>
        <w:jc w:val="both"/>
        <w:rPr>
          <w:b/>
          <w:bCs/>
        </w:rPr>
      </w:pPr>
      <w:r w:rsidRPr="00112F64">
        <w:t>Fires in industrial facilities like factories, warehouses, or manufacturing plants. They can involve hazardous materials and complex suppression needs due to large-scale operations and specialized equipment.</w:t>
      </w:r>
    </w:p>
    <w:p w14:paraId="77F0B5BA" w14:textId="77777777" w:rsidR="00112F64" w:rsidRPr="00112F64" w:rsidRDefault="00112F64">
      <w:pPr>
        <w:numPr>
          <w:ilvl w:val="0"/>
          <w:numId w:val="8"/>
        </w:numPr>
        <w:spacing w:line="360" w:lineRule="auto"/>
        <w:contextualSpacing/>
        <w:jc w:val="both"/>
        <w:rPr>
          <w:b/>
          <w:bCs/>
        </w:rPr>
      </w:pPr>
      <w:r w:rsidRPr="00112F64">
        <w:rPr>
          <w:b/>
          <w:bCs/>
        </w:rPr>
        <w:lastRenderedPageBreak/>
        <w:t>Grass fire</w:t>
      </w:r>
    </w:p>
    <w:p w14:paraId="68789E00" w14:textId="77777777" w:rsidR="00112F64" w:rsidRPr="00112F64" w:rsidRDefault="00112F64" w:rsidP="002B358B">
      <w:pPr>
        <w:spacing w:line="360" w:lineRule="auto"/>
        <w:ind w:left="360"/>
        <w:jc w:val="both"/>
      </w:pPr>
      <w:r w:rsidRPr="00112F64">
        <w:t>Fires that spread across grasslands or on urban rural interface, typically driven by wind and fuel continuity</w:t>
      </w:r>
    </w:p>
    <w:p w14:paraId="76524289" w14:textId="77777777" w:rsidR="00112F64" w:rsidRPr="00112F64" w:rsidRDefault="00112F64">
      <w:pPr>
        <w:numPr>
          <w:ilvl w:val="0"/>
          <w:numId w:val="8"/>
        </w:numPr>
        <w:spacing w:line="360" w:lineRule="auto"/>
        <w:contextualSpacing/>
        <w:jc w:val="both"/>
        <w:rPr>
          <w:b/>
          <w:bCs/>
        </w:rPr>
      </w:pPr>
      <w:r w:rsidRPr="00112F64">
        <w:rPr>
          <w:b/>
          <w:bCs/>
        </w:rPr>
        <w:t>Rubbish fire</w:t>
      </w:r>
    </w:p>
    <w:p w14:paraId="4CCF681F" w14:textId="77777777" w:rsidR="00112F64" w:rsidRPr="00112F64" w:rsidRDefault="00112F64" w:rsidP="002B358B">
      <w:pPr>
        <w:spacing w:line="360" w:lineRule="auto"/>
        <w:ind w:left="360"/>
        <w:jc w:val="both"/>
      </w:pPr>
      <w:r w:rsidRPr="00112F64">
        <w:t>Fires involving waste materials such as litter, garbage, or discarded items. They can ignite easily, produce toxic smoke, and may require rapid intervention to prevent spread.</w:t>
      </w:r>
    </w:p>
    <w:p w14:paraId="4BDA4BE5" w14:textId="77777777" w:rsidR="00112F64" w:rsidRPr="00112F64" w:rsidRDefault="00112F64">
      <w:pPr>
        <w:numPr>
          <w:ilvl w:val="0"/>
          <w:numId w:val="8"/>
        </w:numPr>
        <w:spacing w:line="360" w:lineRule="auto"/>
        <w:contextualSpacing/>
        <w:jc w:val="both"/>
        <w:rPr>
          <w:b/>
          <w:bCs/>
        </w:rPr>
      </w:pPr>
      <w:r w:rsidRPr="00112F64">
        <w:rPr>
          <w:b/>
          <w:bCs/>
        </w:rPr>
        <w:t>Home industry fire</w:t>
      </w:r>
    </w:p>
    <w:p w14:paraId="109E79D8" w14:textId="77777777" w:rsidR="00112F64" w:rsidRPr="00112F64" w:rsidRDefault="00112F64" w:rsidP="002B358B">
      <w:pPr>
        <w:spacing w:line="360" w:lineRule="auto"/>
        <w:ind w:left="360"/>
        <w:jc w:val="both"/>
      </w:pPr>
      <w:r w:rsidRPr="00112F64">
        <w:t>Fires in home-based small-scale production or informal manufacturing setups. They often involve mixed occupancies and require addressing both occupational safety and residential fire safety.</w:t>
      </w:r>
    </w:p>
    <w:p w14:paraId="2AB50B4B" w14:textId="77777777" w:rsidR="00112F64" w:rsidRPr="00112F64" w:rsidRDefault="00112F64">
      <w:pPr>
        <w:numPr>
          <w:ilvl w:val="0"/>
          <w:numId w:val="8"/>
        </w:numPr>
        <w:spacing w:line="360" w:lineRule="auto"/>
        <w:contextualSpacing/>
        <w:jc w:val="both"/>
        <w:rPr>
          <w:b/>
          <w:bCs/>
        </w:rPr>
      </w:pPr>
      <w:r w:rsidRPr="00112F64">
        <w:rPr>
          <w:b/>
          <w:bCs/>
        </w:rPr>
        <w:t>Market fires</w:t>
      </w:r>
    </w:p>
    <w:p w14:paraId="7E7EFC15" w14:textId="77777777" w:rsidR="00112F64" w:rsidRPr="00112F64" w:rsidRDefault="00112F64" w:rsidP="002B358B">
      <w:pPr>
        <w:spacing w:line="360" w:lineRule="auto"/>
        <w:ind w:left="360"/>
        <w:jc w:val="both"/>
      </w:pPr>
      <w:r w:rsidRPr="00112F64">
        <w:t>Fires occurring within market precincts or stalls, potentially affecting multiple vendors. They demand rapid access, massive crowd management, and protection of valuable goods and infrastructure.</w:t>
      </w:r>
    </w:p>
    <w:p w14:paraId="6899A88A" w14:textId="47C95C93" w:rsidR="00112F64" w:rsidRPr="002B358B" w:rsidRDefault="00112F64" w:rsidP="002B358B">
      <w:pPr>
        <w:spacing w:line="360" w:lineRule="auto"/>
        <w:ind w:left="360"/>
        <w:jc w:val="both"/>
        <w:rPr>
          <w:b/>
          <w:bCs/>
        </w:rPr>
      </w:pPr>
      <w:r w:rsidRPr="002B358B">
        <w:rPr>
          <w:b/>
          <w:bCs/>
        </w:rPr>
        <w:t>Table 4.1</w:t>
      </w:r>
      <w:r w:rsidR="00572E44" w:rsidRPr="002B358B">
        <w:rPr>
          <w:b/>
          <w:bCs/>
        </w:rPr>
        <w:t xml:space="preserve"> Fire incidence over the years</w:t>
      </w:r>
    </w:p>
    <w:tbl>
      <w:tblPr>
        <w:tblStyle w:val="TableGrid"/>
        <w:tblW w:w="0" w:type="auto"/>
        <w:tblLook w:val="04A0" w:firstRow="1" w:lastRow="0" w:firstColumn="1" w:lastColumn="0" w:noHBand="0" w:noVBand="1"/>
      </w:tblPr>
      <w:tblGrid>
        <w:gridCol w:w="784"/>
        <w:gridCol w:w="1179"/>
        <w:gridCol w:w="939"/>
        <w:gridCol w:w="1000"/>
        <w:gridCol w:w="784"/>
        <w:gridCol w:w="1121"/>
        <w:gridCol w:w="1350"/>
        <w:gridCol w:w="1287"/>
        <w:gridCol w:w="906"/>
      </w:tblGrid>
      <w:tr w:rsidR="00112F64" w:rsidRPr="00112F64" w14:paraId="2E87BA52" w14:textId="77777777" w:rsidTr="0047623E">
        <w:trPr>
          <w:trHeight w:val="290"/>
        </w:trPr>
        <w:tc>
          <w:tcPr>
            <w:tcW w:w="784" w:type="dxa"/>
            <w:noWrap/>
            <w:hideMark/>
          </w:tcPr>
          <w:p w14:paraId="69E39A29" w14:textId="77777777" w:rsidR="00112F64" w:rsidRPr="00112F64" w:rsidRDefault="00112F64" w:rsidP="002B358B">
            <w:pPr>
              <w:spacing w:line="360" w:lineRule="auto"/>
              <w:jc w:val="both"/>
              <w:rPr>
                <w:sz w:val="18"/>
                <w:szCs w:val="18"/>
              </w:rPr>
            </w:pPr>
          </w:p>
        </w:tc>
        <w:tc>
          <w:tcPr>
            <w:tcW w:w="1179" w:type="dxa"/>
            <w:noWrap/>
            <w:hideMark/>
          </w:tcPr>
          <w:p w14:paraId="5B9E038A" w14:textId="77777777" w:rsidR="00112F64" w:rsidRPr="00112F64" w:rsidRDefault="00112F64" w:rsidP="002B358B">
            <w:pPr>
              <w:spacing w:line="360" w:lineRule="auto"/>
              <w:jc w:val="both"/>
              <w:rPr>
                <w:b/>
                <w:bCs/>
                <w:sz w:val="18"/>
                <w:szCs w:val="18"/>
              </w:rPr>
            </w:pPr>
            <w:r w:rsidRPr="00112F64">
              <w:rPr>
                <w:b/>
                <w:bCs/>
                <w:sz w:val="18"/>
                <w:szCs w:val="18"/>
              </w:rPr>
              <w:t>Commercial</w:t>
            </w:r>
          </w:p>
        </w:tc>
        <w:tc>
          <w:tcPr>
            <w:tcW w:w="939" w:type="dxa"/>
            <w:noWrap/>
            <w:hideMark/>
          </w:tcPr>
          <w:p w14:paraId="57FAAD82" w14:textId="77777777" w:rsidR="00112F64" w:rsidRPr="00112F64" w:rsidRDefault="00112F64" w:rsidP="002B358B">
            <w:pPr>
              <w:spacing w:line="360" w:lineRule="auto"/>
              <w:jc w:val="both"/>
              <w:rPr>
                <w:b/>
                <w:bCs/>
                <w:sz w:val="18"/>
                <w:szCs w:val="18"/>
              </w:rPr>
            </w:pPr>
            <w:r w:rsidRPr="00112F64">
              <w:rPr>
                <w:b/>
                <w:bCs/>
                <w:sz w:val="18"/>
                <w:szCs w:val="18"/>
              </w:rPr>
              <w:t>Domestic</w:t>
            </w:r>
          </w:p>
        </w:tc>
        <w:tc>
          <w:tcPr>
            <w:tcW w:w="1000" w:type="dxa"/>
            <w:noWrap/>
            <w:hideMark/>
          </w:tcPr>
          <w:p w14:paraId="46DF2F0A" w14:textId="77777777" w:rsidR="00112F64" w:rsidRPr="00112F64" w:rsidRDefault="00112F64" w:rsidP="002B358B">
            <w:pPr>
              <w:spacing w:line="360" w:lineRule="auto"/>
              <w:jc w:val="both"/>
              <w:rPr>
                <w:b/>
                <w:bCs/>
                <w:sz w:val="18"/>
                <w:szCs w:val="18"/>
              </w:rPr>
            </w:pPr>
            <w:r w:rsidRPr="00112F64">
              <w:rPr>
                <w:b/>
                <w:bCs/>
                <w:sz w:val="18"/>
                <w:szCs w:val="18"/>
              </w:rPr>
              <w:t>Industrial</w:t>
            </w:r>
          </w:p>
        </w:tc>
        <w:tc>
          <w:tcPr>
            <w:tcW w:w="784" w:type="dxa"/>
            <w:noWrap/>
            <w:hideMark/>
          </w:tcPr>
          <w:p w14:paraId="7B1C722A" w14:textId="77777777" w:rsidR="00112F64" w:rsidRPr="00112F64" w:rsidRDefault="00112F64" w:rsidP="002B358B">
            <w:pPr>
              <w:spacing w:line="360" w:lineRule="auto"/>
              <w:jc w:val="both"/>
              <w:rPr>
                <w:b/>
                <w:bCs/>
                <w:sz w:val="18"/>
                <w:szCs w:val="18"/>
              </w:rPr>
            </w:pPr>
            <w:r w:rsidRPr="00112F64">
              <w:rPr>
                <w:b/>
                <w:bCs/>
                <w:sz w:val="18"/>
                <w:szCs w:val="18"/>
              </w:rPr>
              <w:t>Grass</w:t>
            </w:r>
          </w:p>
        </w:tc>
        <w:tc>
          <w:tcPr>
            <w:tcW w:w="1121" w:type="dxa"/>
            <w:noWrap/>
            <w:hideMark/>
          </w:tcPr>
          <w:p w14:paraId="0D54A5CE" w14:textId="77777777" w:rsidR="00112F64" w:rsidRPr="00112F64" w:rsidRDefault="00112F64" w:rsidP="002B358B">
            <w:pPr>
              <w:spacing w:line="360" w:lineRule="auto"/>
              <w:jc w:val="both"/>
              <w:rPr>
                <w:b/>
                <w:bCs/>
                <w:sz w:val="18"/>
                <w:szCs w:val="18"/>
              </w:rPr>
            </w:pPr>
            <w:r w:rsidRPr="00112F64">
              <w:rPr>
                <w:b/>
                <w:bCs/>
                <w:sz w:val="18"/>
                <w:szCs w:val="18"/>
              </w:rPr>
              <w:t>Rubbish</w:t>
            </w:r>
          </w:p>
        </w:tc>
        <w:tc>
          <w:tcPr>
            <w:tcW w:w="1350" w:type="dxa"/>
            <w:noWrap/>
            <w:hideMark/>
          </w:tcPr>
          <w:p w14:paraId="03697CB9" w14:textId="77777777" w:rsidR="00112F64" w:rsidRPr="00112F64" w:rsidRDefault="00112F64" w:rsidP="002B358B">
            <w:pPr>
              <w:spacing w:line="360" w:lineRule="auto"/>
              <w:jc w:val="both"/>
              <w:rPr>
                <w:b/>
                <w:bCs/>
                <w:sz w:val="18"/>
                <w:szCs w:val="18"/>
              </w:rPr>
            </w:pPr>
            <w:r w:rsidRPr="00112F64">
              <w:rPr>
                <w:b/>
                <w:bCs/>
                <w:sz w:val="18"/>
                <w:szCs w:val="18"/>
              </w:rPr>
              <w:t>Home industries</w:t>
            </w:r>
          </w:p>
        </w:tc>
        <w:tc>
          <w:tcPr>
            <w:tcW w:w="1287" w:type="dxa"/>
            <w:noWrap/>
            <w:hideMark/>
          </w:tcPr>
          <w:p w14:paraId="00E2711F" w14:textId="77777777" w:rsidR="00112F64" w:rsidRPr="00112F64" w:rsidRDefault="00112F64" w:rsidP="002B358B">
            <w:pPr>
              <w:spacing w:line="360" w:lineRule="auto"/>
              <w:jc w:val="both"/>
              <w:rPr>
                <w:b/>
                <w:bCs/>
                <w:sz w:val="18"/>
                <w:szCs w:val="18"/>
              </w:rPr>
            </w:pPr>
            <w:r w:rsidRPr="00112F64">
              <w:rPr>
                <w:b/>
                <w:bCs/>
                <w:sz w:val="18"/>
                <w:szCs w:val="18"/>
              </w:rPr>
              <w:t xml:space="preserve">Market Fires </w:t>
            </w:r>
          </w:p>
        </w:tc>
        <w:tc>
          <w:tcPr>
            <w:tcW w:w="906" w:type="dxa"/>
            <w:noWrap/>
            <w:hideMark/>
          </w:tcPr>
          <w:p w14:paraId="0A1A5050" w14:textId="77777777" w:rsidR="00112F64" w:rsidRPr="00112F64" w:rsidRDefault="00112F64" w:rsidP="002B358B">
            <w:pPr>
              <w:spacing w:line="360" w:lineRule="auto"/>
              <w:jc w:val="both"/>
              <w:rPr>
                <w:b/>
                <w:bCs/>
                <w:sz w:val="18"/>
                <w:szCs w:val="18"/>
              </w:rPr>
            </w:pPr>
            <w:r w:rsidRPr="00112F64">
              <w:rPr>
                <w:b/>
                <w:bCs/>
                <w:sz w:val="18"/>
                <w:szCs w:val="18"/>
              </w:rPr>
              <w:t>Total</w:t>
            </w:r>
          </w:p>
        </w:tc>
      </w:tr>
      <w:tr w:rsidR="00112F64" w:rsidRPr="00112F64" w14:paraId="50A810F8" w14:textId="77777777" w:rsidTr="0047623E">
        <w:trPr>
          <w:trHeight w:val="290"/>
        </w:trPr>
        <w:tc>
          <w:tcPr>
            <w:tcW w:w="784" w:type="dxa"/>
            <w:noWrap/>
            <w:hideMark/>
          </w:tcPr>
          <w:p w14:paraId="2803B60B" w14:textId="77777777" w:rsidR="00112F64" w:rsidRPr="00112F64" w:rsidRDefault="00112F64" w:rsidP="002B358B">
            <w:pPr>
              <w:spacing w:line="360" w:lineRule="auto"/>
              <w:jc w:val="both"/>
              <w:rPr>
                <w:b/>
                <w:bCs/>
                <w:sz w:val="18"/>
                <w:szCs w:val="18"/>
              </w:rPr>
            </w:pPr>
            <w:r w:rsidRPr="00112F64">
              <w:rPr>
                <w:b/>
                <w:bCs/>
                <w:sz w:val="18"/>
                <w:szCs w:val="18"/>
              </w:rPr>
              <w:t>2015</w:t>
            </w:r>
          </w:p>
        </w:tc>
        <w:tc>
          <w:tcPr>
            <w:tcW w:w="1179" w:type="dxa"/>
            <w:noWrap/>
            <w:hideMark/>
          </w:tcPr>
          <w:p w14:paraId="316B8273" w14:textId="77777777" w:rsidR="00112F64" w:rsidRPr="00112F64" w:rsidRDefault="00112F64" w:rsidP="002B358B">
            <w:pPr>
              <w:spacing w:line="360" w:lineRule="auto"/>
              <w:jc w:val="both"/>
              <w:rPr>
                <w:sz w:val="18"/>
                <w:szCs w:val="18"/>
              </w:rPr>
            </w:pPr>
            <w:r w:rsidRPr="00112F64">
              <w:rPr>
                <w:sz w:val="18"/>
                <w:szCs w:val="18"/>
              </w:rPr>
              <w:t>107</w:t>
            </w:r>
          </w:p>
        </w:tc>
        <w:tc>
          <w:tcPr>
            <w:tcW w:w="939" w:type="dxa"/>
            <w:noWrap/>
            <w:hideMark/>
          </w:tcPr>
          <w:p w14:paraId="04784BB0" w14:textId="77777777" w:rsidR="00112F64" w:rsidRPr="00112F64" w:rsidRDefault="00112F64" w:rsidP="002B358B">
            <w:pPr>
              <w:spacing w:line="360" w:lineRule="auto"/>
              <w:jc w:val="both"/>
              <w:rPr>
                <w:sz w:val="18"/>
                <w:szCs w:val="18"/>
              </w:rPr>
            </w:pPr>
            <w:r w:rsidRPr="00112F64">
              <w:rPr>
                <w:sz w:val="18"/>
                <w:szCs w:val="18"/>
              </w:rPr>
              <w:t>125</w:t>
            </w:r>
          </w:p>
        </w:tc>
        <w:tc>
          <w:tcPr>
            <w:tcW w:w="1000" w:type="dxa"/>
            <w:noWrap/>
            <w:hideMark/>
          </w:tcPr>
          <w:p w14:paraId="15FC48DD" w14:textId="77777777" w:rsidR="00112F64" w:rsidRPr="00112F64" w:rsidRDefault="00112F64" w:rsidP="002B358B">
            <w:pPr>
              <w:spacing w:line="360" w:lineRule="auto"/>
              <w:jc w:val="both"/>
              <w:rPr>
                <w:sz w:val="18"/>
                <w:szCs w:val="18"/>
              </w:rPr>
            </w:pPr>
            <w:r w:rsidRPr="00112F64">
              <w:rPr>
                <w:sz w:val="18"/>
                <w:szCs w:val="18"/>
              </w:rPr>
              <w:t>14</w:t>
            </w:r>
          </w:p>
        </w:tc>
        <w:tc>
          <w:tcPr>
            <w:tcW w:w="784" w:type="dxa"/>
            <w:noWrap/>
            <w:hideMark/>
          </w:tcPr>
          <w:p w14:paraId="0A83FEAC" w14:textId="77777777" w:rsidR="00112F64" w:rsidRPr="00112F64" w:rsidRDefault="00112F64" w:rsidP="002B358B">
            <w:pPr>
              <w:spacing w:line="360" w:lineRule="auto"/>
              <w:jc w:val="both"/>
              <w:rPr>
                <w:sz w:val="18"/>
                <w:szCs w:val="18"/>
              </w:rPr>
            </w:pPr>
            <w:r w:rsidRPr="00112F64">
              <w:rPr>
                <w:sz w:val="18"/>
                <w:szCs w:val="18"/>
              </w:rPr>
              <w:t>177</w:t>
            </w:r>
          </w:p>
        </w:tc>
        <w:tc>
          <w:tcPr>
            <w:tcW w:w="1121" w:type="dxa"/>
            <w:noWrap/>
            <w:hideMark/>
          </w:tcPr>
          <w:p w14:paraId="04CDC70B" w14:textId="77777777" w:rsidR="00112F64" w:rsidRPr="00112F64" w:rsidRDefault="00112F64" w:rsidP="002B358B">
            <w:pPr>
              <w:spacing w:line="360" w:lineRule="auto"/>
              <w:jc w:val="both"/>
              <w:rPr>
                <w:sz w:val="18"/>
                <w:szCs w:val="18"/>
              </w:rPr>
            </w:pPr>
            <w:r w:rsidRPr="00112F64">
              <w:rPr>
                <w:sz w:val="18"/>
                <w:szCs w:val="18"/>
              </w:rPr>
              <w:t>83</w:t>
            </w:r>
          </w:p>
        </w:tc>
        <w:tc>
          <w:tcPr>
            <w:tcW w:w="1350" w:type="dxa"/>
            <w:noWrap/>
            <w:hideMark/>
          </w:tcPr>
          <w:p w14:paraId="6559B5D1" w14:textId="77777777" w:rsidR="00112F64" w:rsidRPr="00112F64" w:rsidRDefault="00112F64" w:rsidP="002B358B">
            <w:pPr>
              <w:spacing w:line="360" w:lineRule="auto"/>
              <w:jc w:val="both"/>
              <w:rPr>
                <w:sz w:val="18"/>
                <w:szCs w:val="18"/>
              </w:rPr>
            </w:pPr>
            <w:r w:rsidRPr="00112F64">
              <w:rPr>
                <w:sz w:val="18"/>
                <w:szCs w:val="18"/>
              </w:rPr>
              <w:t>12</w:t>
            </w:r>
          </w:p>
        </w:tc>
        <w:tc>
          <w:tcPr>
            <w:tcW w:w="1287" w:type="dxa"/>
            <w:noWrap/>
            <w:hideMark/>
          </w:tcPr>
          <w:p w14:paraId="3DA0F9B1" w14:textId="77777777" w:rsidR="00112F64" w:rsidRPr="00112F64" w:rsidRDefault="00112F64" w:rsidP="002B358B">
            <w:pPr>
              <w:spacing w:line="360" w:lineRule="auto"/>
              <w:jc w:val="both"/>
              <w:rPr>
                <w:sz w:val="18"/>
                <w:szCs w:val="18"/>
              </w:rPr>
            </w:pPr>
            <w:r w:rsidRPr="00112F64">
              <w:rPr>
                <w:sz w:val="18"/>
                <w:szCs w:val="18"/>
              </w:rPr>
              <w:t>1</w:t>
            </w:r>
          </w:p>
        </w:tc>
        <w:tc>
          <w:tcPr>
            <w:tcW w:w="906" w:type="dxa"/>
            <w:noWrap/>
            <w:hideMark/>
          </w:tcPr>
          <w:p w14:paraId="6397C687" w14:textId="77777777" w:rsidR="00112F64" w:rsidRPr="00112F64" w:rsidRDefault="00112F64" w:rsidP="002B358B">
            <w:pPr>
              <w:spacing w:line="360" w:lineRule="auto"/>
              <w:jc w:val="both"/>
              <w:rPr>
                <w:b/>
                <w:bCs/>
                <w:sz w:val="18"/>
                <w:szCs w:val="18"/>
              </w:rPr>
            </w:pPr>
            <w:r w:rsidRPr="00112F64">
              <w:rPr>
                <w:b/>
                <w:bCs/>
                <w:sz w:val="18"/>
                <w:szCs w:val="18"/>
              </w:rPr>
              <w:t>519</w:t>
            </w:r>
          </w:p>
        </w:tc>
      </w:tr>
      <w:tr w:rsidR="00112F64" w:rsidRPr="00112F64" w14:paraId="0ABC5BA1" w14:textId="77777777" w:rsidTr="0047623E">
        <w:trPr>
          <w:trHeight w:val="290"/>
        </w:trPr>
        <w:tc>
          <w:tcPr>
            <w:tcW w:w="784" w:type="dxa"/>
            <w:noWrap/>
            <w:hideMark/>
          </w:tcPr>
          <w:p w14:paraId="5A9FD175" w14:textId="77777777" w:rsidR="00112F64" w:rsidRPr="00112F64" w:rsidRDefault="00112F64" w:rsidP="002B358B">
            <w:pPr>
              <w:spacing w:line="360" w:lineRule="auto"/>
              <w:jc w:val="both"/>
              <w:rPr>
                <w:b/>
                <w:bCs/>
                <w:sz w:val="18"/>
                <w:szCs w:val="18"/>
              </w:rPr>
            </w:pPr>
            <w:r w:rsidRPr="00112F64">
              <w:rPr>
                <w:b/>
                <w:bCs/>
                <w:sz w:val="18"/>
                <w:szCs w:val="18"/>
              </w:rPr>
              <w:t>2016</w:t>
            </w:r>
          </w:p>
        </w:tc>
        <w:tc>
          <w:tcPr>
            <w:tcW w:w="1179" w:type="dxa"/>
            <w:noWrap/>
            <w:hideMark/>
          </w:tcPr>
          <w:p w14:paraId="40336DC4" w14:textId="77777777" w:rsidR="00112F64" w:rsidRPr="00112F64" w:rsidRDefault="00112F64" w:rsidP="002B358B">
            <w:pPr>
              <w:spacing w:line="360" w:lineRule="auto"/>
              <w:jc w:val="both"/>
              <w:rPr>
                <w:sz w:val="18"/>
                <w:szCs w:val="18"/>
              </w:rPr>
            </w:pPr>
            <w:r w:rsidRPr="00112F64">
              <w:rPr>
                <w:sz w:val="18"/>
                <w:szCs w:val="18"/>
              </w:rPr>
              <w:t>152</w:t>
            </w:r>
          </w:p>
        </w:tc>
        <w:tc>
          <w:tcPr>
            <w:tcW w:w="939" w:type="dxa"/>
            <w:noWrap/>
            <w:hideMark/>
          </w:tcPr>
          <w:p w14:paraId="1006C023" w14:textId="77777777" w:rsidR="00112F64" w:rsidRPr="00112F64" w:rsidRDefault="00112F64" w:rsidP="002B358B">
            <w:pPr>
              <w:spacing w:line="360" w:lineRule="auto"/>
              <w:jc w:val="both"/>
              <w:rPr>
                <w:sz w:val="18"/>
                <w:szCs w:val="18"/>
              </w:rPr>
            </w:pPr>
            <w:r w:rsidRPr="00112F64">
              <w:rPr>
                <w:sz w:val="18"/>
                <w:szCs w:val="18"/>
              </w:rPr>
              <w:t>100</w:t>
            </w:r>
          </w:p>
        </w:tc>
        <w:tc>
          <w:tcPr>
            <w:tcW w:w="1000" w:type="dxa"/>
            <w:noWrap/>
            <w:hideMark/>
          </w:tcPr>
          <w:p w14:paraId="6E05C093" w14:textId="77777777" w:rsidR="00112F64" w:rsidRPr="00112F64" w:rsidRDefault="00112F64" w:rsidP="002B358B">
            <w:pPr>
              <w:spacing w:line="360" w:lineRule="auto"/>
              <w:jc w:val="both"/>
              <w:rPr>
                <w:sz w:val="18"/>
                <w:szCs w:val="18"/>
              </w:rPr>
            </w:pPr>
            <w:r w:rsidRPr="00112F64">
              <w:rPr>
                <w:sz w:val="18"/>
                <w:szCs w:val="18"/>
              </w:rPr>
              <w:t>17</w:t>
            </w:r>
          </w:p>
        </w:tc>
        <w:tc>
          <w:tcPr>
            <w:tcW w:w="784" w:type="dxa"/>
            <w:noWrap/>
            <w:hideMark/>
          </w:tcPr>
          <w:p w14:paraId="6DB9BAA4" w14:textId="77777777" w:rsidR="00112F64" w:rsidRPr="00112F64" w:rsidRDefault="00112F64" w:rsidP="002B358B">
            <w:pPr>
              <w:spacing w:line="360" w:lineRule="auto"/>
              <w:jc w:val="both"/>
              <w:rPr>
                <w:sz w:val="18"/>
                <w:szCs w:val="18"/>
              </w:rPr>
            </w:pPr>
            <w:r w:rsidRPr="00112F64">
              <w:rPr>
                <w:sz w:val="18"/>
                <w:szCs w:val="18"/>
              </w:rPr>
              <w:t>182</w:t>
            </w:r>
          </w:p>
        </w:tc>
        <w:tc>
          <w:tcPr>
            <w:tcW w:w="1121" w:type="dxa"/>
            <w:noWrap/>
            <w:hideMark/>
          </w:tcPr>
          <w:p w14:paraId="093A0D82" w14:textId="77777777" w:rsidR="00112F64" w:rsidRPr="00112F64" w:rsidRDefault="00112F64" w:rsidP="002B358B">
            <w:pPr>
              <w:spacing w:line="360" w:lineRule="auto"/>
              <w:jc w:val="both"/>
              <w:rPr>
                <w:sz w:val="18"/>
                <w:szCs w:val="18"/>
              </w:rPr>
            </w:pPr>
            <w:r w:rsidRPr="00112F64">
              <w:rPr>
                <w:sz w:val="18"/>
                <w:szCs w:val="18"/>
              </w:rPr>
              <w:t>76</w:t>
            </w:r>
          </w:p>
        </w:tc>
        <w:tc>
          <w:tcPr>
            <w:tcW w:w="1350" w:type="dxa"/>
            <w:noWrap/>
            <w:hideMark/>
          </w:tcPr>
          <w:p w14:paraId="1324E54F" w14:textId="77777777" w:rsidR="00112F64" w:rsidRPr="00112F64" w:rsidRDefault="00112F64" w:rsidP="002B358B">
            <w:pPr>
              <w:spacing w:line="360" w:lineRule="auto"/>
              <w:jc w:val="both"/>
              <w:rPr>
                <w:sz w:val="18"/>
                <w:szCs w:val="18"/>
              </w:rPr>
            </w:pPr>
            <w:r w:rsidRPr="00112F64">
              <w:rPr>
                <w:sz w:val="18"/>
                <w:szCs w:val="18"/>
              </w:rPr>
              <w:t>11</w:t>
            </w:r>
          </w:p>
        </w:tc>
        <w:tc>
          <w:tcPr>
            <w:tcW w:w="1287" w:type="dxa"/>
            <w:noWrap/>
            <w:hideMark/>
          </w:tcPr>
          <w:p w14:paraId="097DBA34" w14:textId="77777777" w:rsidR="00112F64" w:rsidRPr="00112F64" w:rsidRDefault="00112F64" w:rsidP="002B358B">
            <w:pPr>
              <w:spacing w:line="360" w:lineRule="auto"/>
              <w:jc w:val="both"/>
              <w:rPr>
                <w:sz w:val="18"/>
                <w:szCs w:val="18"/>
              </w:rPr>
            </w:pPr>
            <w:r w:rsidRPr="00112F64">
              <w:rPr>
                <w:sz w:val="18"/>
                <w:szCs w:val="18"/>
              </w:rPr>
              <w:t>1</w:t>
            </w:r>
          </w:p>
        </w:tc>
        <w:tc>
          <w:tcPr>
            <w:tcW w:w="906" w:type="dxa"/>
            <w:noWrap/>
            <w:hideMark/>
          </w:tcPr>
          <w:p w14:paraId="375D20B4" w14:textId="77777777" w:rsidR="00112F64" w:rsidRPr="00112F64" w:rsidRDefault="00112F64" w:rsidP="002B358B">
            <w:pPr>
              <w:spacing w:line="360" w:lineRule="auto"/>
              <w:jc w:val="both"/>
              <w:rPr>
                <w:b/>
                <w:bCs/>
                <w:sz w:val="18"/>
                <w:szCs w:val="18"/>
              </w:rPr>
            </w:pPr>
            <w:r w:rsidRPr="00112F64">
              <w:rPr>
                <w:b/>
                <w:bCs/>
                <w:sz w:val="18"/>
                <w:szCs w:val="18"/>
              </w:rPr>
              <w:t>539</w:t>
            </w:r>
          </w:p>
        </w:tc>
      </w:tr>
      <w:tr w:rsidR="00112F64" w:rsidRPr="00112F64" w14:paraId="2814F543" w14:textId="77777777" w:rsidTr="0047623E">
        <w:trPr>
          <w:trHeight w:val="290"/>
        </w:trPr>
        <w:tc>
          <w:tcPr>
            <w:tcW w:w="784" w:type="dxa"/>
            <w:noWrap/>
            <w:hideMark/>
          </w:tcPr>
          <w:p w14:paraId="7713F8D7" w14:textId="77777777" w:rsidR="00112F64" w:rsidRPr="00112F64" w:rsidRDefault="00112F64" w:rsidP="002B358B">
            <w:pPr>
              <w:spacing w:line="360" w:lineRule="auto"/>
              <w:jc w:val="both"/>
              <w:rPr>
                <w:b/>
                <w:bCs/>
                <w:sz w:val="18"/>
                <w:szCs w:val="18"/>
              </w:rPr>
            </w:pPr>
            <w:r w:rsidRPr="00112F64">
              <w:rPr>
                <w:b/>
                <w:bCs/>
                <w:sz w:val="18"/>
                <w:szCs w:val="18"/>
              </w:rPr>
              <w:t>2017</w:t>
            </w:r>
          </w:p>
        </w:tc>
        <w:tc>
          <w:tcPr>
            <w:tcW w:w="1179" w:type="dxa"/>
            <w:noWrap/>
            <w:hideMark/>
          </w:tcPr>
          <w:p w14:paraId="543E49A3" w14:textId="77777777" w:rsidR="00112F64" w:rsidRPr="00112F64" w:rsidRDefault="00112F64" w:rsidP="002B358B">
            <w:pPr>
              <w:spacing w:line="360" w:lineRule="auto"/>
              <w:jc w:val="both"/>
              <w:rPr>
                <w:sz w:val="18"/>
                <w:szCs w:val="18"/>
              </w:rPr>
            </w:pPr>
            <w:r w:rsidRPr="00112F64">
              <w:rPr>
                <w:sz w:val="18"/>
                <w:szCs w:val="18"/>
              </w:rPr>
              <w:t>131</w:t>
            </w:r>
          </w:p>
        </w:tc>
        <w:tc>
          <w:tcPr>
            <w:tcW w:w="939" w:type="dxa"/>
            <w:noWrap/>
            <w:hideMark/>
          </w:tcPr>
          <w:p w14:paraId="749BE407" w14:textId="77777777" w:rsidR="00112F64" w:rsidRPr="00112F64" w:rsidRDefault="00112F64" w:rsidP="002B358B">
            <w:pPr>
              <w:spacing w:line="360" w:lineRule="auto"/>
              <w:jc w:val="both"/>
              <w:rPr>
                <w:sz w:val="18"/>
                <w:szCs w:val="18"/>
              </w:rPr>
            </w:pPr>
            <w:r w:rsidRPr="00112F64">
              <w:rPr>
                <w:sz w:val="18"/>
                <w:szCs w:val="18"/>
              </w:rPr>
              <w:t>108</w:t>
            </w:r>
          </w:p>
        </w:tc>
        <w:tc>
          <w:tcPr>
            <w:tcW w:w="1000" w:type="dxa"/>
            <w:noWrap/>
            <w:hideMark/>
          </w:tcPr>
          <w:p w14:paraId="1B87DD60" w14:textId="77777777" w:rsidR="00112F64" w:rsidRPr="00112F64" w:rsidRDefault="00112F64" w:rsidP="002B358B">
            <w:pPr>
              <w:spacing w:line="360" w:lineRule="auto"/>
              <w:jc w:val="both"/>
              <w:rPr>
                <w:sz w:val="18"/>
                <w:szCs w:val="18"/>
              </w:rPr>
            </w:pPr>
            <w:r w:rsidRPr="00112F64">
              <w:rPr>
                <w:sz w:val="18"/>
                <w:szCs w:val="18"/>
              </w:rPr>
              <w:t>15</w:t>
            </w:r>
          </w:p>
        </w:tc>
        <w:tc>
          <w:tcPr>
            <w:tcW w:w="784" w:type="dxa"/>
            <w:noWrap/>
            <w:hideMark/>
          </w:tcPr>
          <w:p w14:paraId="46447707" w14:textId="77777777" w:rsidR="00112F64" w:rsidRPr="00112F64" w:rsidRDefault="00112F64" w:rsidP="002B358B">
            <w:pPr>
              <w:spacing w:line="360" w:lineRule="auto"/>
              <w:jc w:val="both"/>
              <w:rPr>
                <w:sz w:val="18"/>
                <w:szCs w:val="18"/>
              </w:rPr>
            </w:pPr>
            <w:r w:rsidRPr="00112F64">
              <w:rPr>
                <w:sz w:val="18"/>
                <w:szCs w:val="18"/>
              </w:rPr>
              <w:t>178</w:t>
            </w:r>
          </w:p>
        </w:tc>
        <w:tc>
          <w:tcPr>
            <w:tcW w:w="1121" w:type="dxa"/>
            <w:noWrap/>
            <w:hideMark/>
          </w:tcPr>
          <w:p w14:paraId="4B972880" w14:textId="77777777" w:rsidR="00112F64" w:rsidRPr="00112F64" w:rsidRDefault="00112F64" w:rsidP="002B358B">
            <w:pPr>
              <w:spacing w:line="360" w:lineRule="auto"/>
              <w:jc w:val="both"/>
              <w:rPr>
                <w:sz w:val="18"/>
                <w:szCs w:val="18"/>
              </w:rPr>
            </w:pPr>
            <w:r w:rsidRPr="00112F64">
              <w:rPr>
                <w:sz w:val="18"/>
                <w:szCs w:val="18"/>
              </w:rPr>
              <w:t>69</w:t>
            </w:r>
          </w:p>
        </w:tc>
        <w:tc>
          <w:tcPr>
            <w:tcW w:w="1350" w:type="dxa"/>
            <w:noWrap/>
            <w:hideMark/>
          </w:tcPr>
          <w:p w14:paraId="00F991FE" w14:textId="77777777" w:rsidR="00112F64" w:rsidRPr="00112F64" w:rsidRDefault="00112F64" w:rsidP="002B358B">
            <w:pPr>
              <w:spacing w:line="360" w:lineRule="auto"/>
              <w:jc w:val="both"/>
              <w:rPr>
                <w:sz w:val="18"/>
                <w:szCs w:val="18"/>
              </w:rPr>
            </w:pPr>
            <w:r w:rsidRPr="00112F64">
              <w:rPr>
                <w:sz w:val="18"/>
                <w:szCs w:val="18"/>
              </w:rPr>
              <w:t>12</w:t>
            </w:r>
          </w:p>
        </w:tc>
        <w:tc>
          <w:tcPr>
            <w:tcW w:w="1287" w:type="dxa"/>
            <w:noWrap/>
            <w:hideMark/>
          </w:tcPr>
          <w:p w14:paraId="01626870" w14:textId="77777777" w:rsidR="00112F64" w:rsidRPr="00112F64" w:rsidRDefault="00112F64" w:rsidP="002B358B">
            <w:pPr>
              <w:spacing w:line="360" w:lineRule="auto"/>
              <w:jc w:val="both"/>
              <w:rPr>
                <w:sz w:val="18"/>
                <w:szCs w:val="18"/>
              </w:rPr>
            </w:pPr>
            <w:r w:rsidRPr="00112F64">
              <w:rPr>
                <w:sz w:val="18"/>
                <w:szCs w:val="18"/>
              </w:rPr>
              <w:t>3</w:t>
            </w:r>
          </w:p>
        </w:tc>
        <w:tc>
          <w:tcPr>
            <w:tcW w:w="906" w:type="dxa"/>
            <w:noWrap/>
            <w:hideMark/>
          </w:tcPr>
          <w:p w14:paraId="374D35C7" w14:textId="77777777" w:rsidR="00112F64" w:rsidRPr="00112F64" w:rsidRDefault="00112F64" w:rsidP="002B358B">
            <w:pPr>
              <w:spacing w:line="360" w:lineRule="auto"/>
              <w:jc w:val="both"/>
              <w:rPr>
                <w:b/>
                <w:bCs/>
                <w:sz w:val="18"/>
                <w:szCs w:val="18"/>
              </w:rPr>
            </w:pPr>
            <w:r w:rsidRPr="00112F64">
              <w:rPr>
                <w:b/>
                <w:bCs/>
                <w:sz w:val="18"/>
                <w:szCs w:val="18"/>
              </w:rPr>
              <w:t>516</w:t>
            </w:r>
          </w:p>
        </w:tc>
      </w:tr>
      <w:tr w:rsidR="00112F64" w:rsidRPr="00112F64" w14:paraId="331ABD3C" w14:textId="77777777" w:rsidTr="0047623E">
        <w:trPr>
          <w:trHeight w:val="290"/>
        </w:trPr>
        <w:tc>
          <w:tcPr>
            <w:tcW w:w="784" w:type="dxa"/>
            <w:noWrap/>
            <w:hideMark/>
          </w:tcPr>
          <w:p w14:paraId="4711CE07" w14:textId="77777777" w:rsidR="00112F64" w:rsidRPr="00112F64" w:rsidRDefault="00112F64" w:rsidP="002B358B">
            <w:pPr>
              <w:spacing w:line="360" w:lineRule="auto"/>
              <w:jc w:val="both"/>
              <w:rPr>
                <w:b/>
                <w:bCs/>
                <w:sz w:val="18"/>
                <w:szCs w:val="18"/>
              </w:rPr>
            </w:pPr>
            <w:r w:rsidRPr="00112F64">
              <w:rPr>
                <w:b/>
                <w:bCs/>
                <w:sz w:val="18"/>
                <w:szCs w:val="18"/>
              </w:rPr>
              <w:t>2018</w:t>
            </w:r>
          </w:p>
        </w:tc>
        <w:tc>
          <w:tcPr>
            <w:tcW w:w="1179" w:type="dxa"/>
            <w:noWrap/>
            <w:hideMark/>
          </w:tcPr>
          <w:p w14:paraId="1119AF59" w14:textId="77777777" w:rsidR="00112F64" w:rsidRPr="00112F64" w:rsidRDefault="00112F64" w:rsidP="002B358B">
            <w:pPr>
              <w:spacing w:line="360" w:lineRule="auto"/>
              <w:jc w:val="both"/>
              <w:rPr>
                <w:sz w:val="18"/>
                <w:szCs w:val="18"/>
              </w:rPr>
            </w:pPr>
            <w:r w:rsidRPr="00112F64">
              <w:rPr>
                <w:sz w:val="18"/>
                <w:szCs w:val="18"/>
              </w:rPr>
              <w:t>140</w:t>
            </w:r>
          </w:p>
        </w:tc>
        <w:tc>
          <w:tcPr>
            <w:tcW w:w="939" w:type="dxa"/>
            <w:noWrap/>
            <w:hideMark/>
          </w:tcPr>
          <w:p w14:paraId="2168A3C7" w14:textId="77777777" w:rsidR="00112F64" w:rsidRPr="00112F64" w:rsidRDefault="00112F64" w:rsidP="002B358B">
            <w:pPr>
              <w:spacing w:line="360" w:lineRule="auto"/>
              <w:jc w:val="both"/>
              <w:rPr>
                <w:sz w:val="18"/>
                <w:szCs w:val="18"/>
              </w:rPr>
            </w:pPr>
            <w:r w:rsidRPr="00112F64">
              <w:rPr>
                <w:sz w:val="18"/>
                <w:szCs w:val="18"/>
              </w:rPr>
              <w:t>154</w:t>
            </w:r>
          </w:p>
        </w:tc>
        <w:tc>
          <w:tcPr>
            <w:tcW w:w="1000" w:type="dxa"/>
            <w:noWrap/>
            <w:hideMark/>
          </w:tcPr>
          <w:p w14:paraId="465FD6D8" w14:textId="77777777" w:rsidR="00112F64" w:rsidRPr="00112F64" w:rsidRDefault="00112F64" w:rsidP="002B358B">
            <w:pPr>
              <w:spacing w:line="360" w:lineRule="auto"/>
              <w:jc w:val="both"/>
              <w:rPr>
                <w:sz w:val="18"/>
                <w:szCs w:val="18"/>
              </w:rPr>
            </w:pPr>
            <w:r w:rsidRPr="00112F64">
              <w:rPr>
                <w:sz w:val="18"/>
                <w:szCs w:val="18"/>
              </w:rPr>
              <w:t>12</w:t>
            </w:r>
          </w:p>
        </w:tc>
        <w:tc>
          <w:tcPr>
            <w:tcW w:w="784" w:type="dxa"/>
            <w:noWrap/>
            <w:hideMark/>
          </w:tcPr>
          <w:p w14:paraId="65C1F63B" w14:textId="77777777" w:rsidR="00112F64" w:rsidRPr="00112F64" w:rsidRDefault="00112F64" w:rsidP="002B358B">
            <w:pPr>
              <w:spacing w:line="360" w:lineRule="auto"/>
              <w:jc w:val="both"/>
              <w:rPr>
                <w:sz w:val="18"/>
                <w:szCs w:val="18"/>
              </w:rPr>
            </w:pPr>
            <w:r w:rsidRPr="00112F64">
              <w:rPr>
                <w:sz w:val="18"/>
                <w:szCs w:val="18"/>
              </w:rPr>
              <w:t>194</w:t>
            </w:r>
          </w:p>
        </w:tc>
        <w:tc>
          <w:tcPr>
            <w:tcW w:w="1121" w:type="dxa"/>
            <w:noWrap/>
            <w:hideMark/>
          </w:tcPr>
          <w:p w14:paraId="5D102680" w14:textId="77777777" w:rsidR="00112F64" w:rsidRPr="00112F64" w:rsidRDefault="00112F64" w:rsidP="002B358B">
            <w:pPr>
              <w:spacing w:line="360" w:lineRule="auto"/>
              <w:jc w:val="both"/>
              <w:rPr>
                <w:sz w:val="18"/>
                <w:szCs w:val="18"/>
              </w:rPr>
            </w:pPr>
            <w:r w:rsidRPr="00112F64">
              <w:rPr>
                <w:sz w:val="18"/>
                <w:szCs w:val="18"/>
              </w:rPr>
              <w:t>86</w:t>
            </w:r>
          </w:p>
        </w:tc>
        <w:tc>
          <w:tcPr>
            <w:tcW w:w="1350" w:type="dxa"/>
            <w:noWrap/>
            <w:hideMark/>
          </w:tcPr>
          <w:p w14:paraId="4FA1DA03" w14:textId="77777777" w:rsidR="00112F64" w:rsidRPr="00112F64" w:rsidRDefault="00112F64" w:rsidP="002B358B">
            <w:pPr>
              <w:spacing w:line="360" w:lineRule="auto"/>
              <w:jc w:val="both"/>
              <w:rPr>
                <w:sz w:val="18"/>
                <w:szCs w:val="18"/>
              </w:rPr>
            </w:pPr>
            <w:r w:rsidRPr="00112F64">
              <w:rPr>
                <w:sz w:val="18"/>
                <w:szCs w:val="18"/>
              </w:rPr>
              <w:t>13</w:t>
            </w:r>
          </w:p>
        </w:tc>
        <w:tc>
          <w:tcPr>
            <w:tcW w:w="1287" w:type="dxa"/>
            <w:noWrap/>
            <w:hideMark/>
          </w:tcPr>
          <w:p w14:paraId="0F3572F2" w14:textId="77777777" w:rsidR="00112F64" w:rsidRPr="00112F64" w:rsidRDefault="00112F64" w:rsidP="002B358B">
            <w:pPr>
              <w:spacing w:line="360" w:lineRule="auto"/>
              <w:jc w:val="both"/>
              <w:rPr>
                <w:sz w:val="18"/>
                <w:szCs w:val="18"/>
              </w:rPr>
            </w:pPr>
            <w:r w:rsidRPr="00112F64">
              <w:rPr>
                <w:sz w:val="18"/>
                <w:szCs w:val="18"/>
              </w:rPr>
              <w:t>2</w:t>
            </w:r>
          </w:p>
        </w:tc>
        <w:tc>
          <w:tcPr>
            <w:tcW w:w="906" w:type="dxa"/>
            <w:noWrap/>
            <w:hideMark/>
          </w:tcPr>
          <w:p w14:paraId="108756D4" w14:textId="77777777" w:rsidR="00112F64" w:rsidRPr="00112F64" w:rsidRDefault="00112F64" w:rsidP="002B358B">
            <w:pPr>
              <w:spacing w:line="360" w:lineRule="auto"/>
              <w:jc w:val="both"/>
              <w:rPr>
                <w:b/>
                <w:bCs/>
                <w:sz w:val="18"/>
                <w:szCs w:val="18"/>
              </w:rPr>
            </w:pPr>
            <w:r w:rsidRPr="00112F64">
              <w:rPr>
                <w:b/>
                <w:bCs/>
                <w:sz w:val="18"/>
                <w:szCs w:val="18"/>
              </w:rPr>
              <w:t>601</w:t>
            </w:r>
          </w:p>
        </w:tc>
      </w:tr>
      <w:tr w:rsidR="00112F64" w:rsidRPr="00112F64" w14:paraId="62AF0911" w14:textId="77777777" w:rsidTr="0047623E">
        <w:trPr>
          <w:trHeight w:val="290"/>
        </w:trPr>
        <w:tc>
          <w:tcPr>
            <w:tcW w:w="784" w:type="dxa"/>
            <w:noWrap/>
            <w:hideMark/>
          </w:tcPr>
          <w:p w14:paraId="23DA85CF" w14:textId="77777777" w:rsidR="00112F64" w:rsidRPr="00112F64" w:rsidRDefault="00112F64" w:rsidP="002B358B">
            <w:pPr>
              <w:spacing w:line="360" w:lineRule="auto"/>
              <w:jc w:val="both"/>
              <w:rPr>
                <w:b/>
                <w:bCs/>
                <w:sz w:val="18"/>
                <w:szCs w:val="18"/>
              </w:rPr>
            </w:pPr>
            <w:r w:rsidRPr="00112F64">
              <w:rPr>
                <w:b/>
                <w:bCs/>
                <w:sz w:val="18"/>
                <w:szCs w:val="18"/>
              </w:rPr>
              <w:t>2019</w:t>
            </w:r>
          </w:p>
        </w:tc>
        <w:tc>
          <w:tcPr>
            <w:tcW w:w="1179" w:type="dxa"/>
            <w:noWrap/>
            <w:hideMark/>
          </w:tcPr>
          <w:p w14:paraId="114C15F7" w14:textId="77777777" w:rsidR="00112F64" w:rsidRPr="00112F64" w:rsidRDefault="00112F64" w:rsidP="002B358B">
            <w:pPr>
              <w:spacing w:line="360" w:lineRule="auto"/>
              <w:jc w:val="both"/>
              <w:rPr>
                <w:sz w:val="18"/>
                <w:szCs w:val="18"/>
              </w:rPr>
            </w:pPr>
            <w:r w:rsidRPr="00112F64">
              <w:rPr>
                <w:sz w:val="18"/>
                <w:szCs w:val="18"/>
              </w:rPr>
              <w:t>140</w:t>
            </w:r>
          </w:p>
        </w:tc>
        <w:tc>
          <w:tcPr>
            <w:tcW w:w="939" w:type="dxa"/>
            <w:noWrap/>
            <w:hideMark/>
          </w:tcPr>
          <w:p w14:paraId="2EF36E50" w14:textId="77777777" w:rsidR="00112F64" w:rsidRPr="00112F64" w:rsidRDefault="00112F64" w:rsidP="002B358B">
            <w:pPr>
              <w:spacing w:line="360" w:lineRule="auto"/>
              <w:jc w:val="both"/>
              <w:rPr>
                <w:sz w:val="18"/>
                <w:szCs w:val="18"/>
              </w:rPr>
            </w:pPr>
            <w:r w:rsidRPr="00112F64">
              <w:rPr>
                <w:sz w:val="18"/>
                <w:szCs w:val="18"/>
              </w:rPr>
              <w:t>154</w:t>
            </w:r>
          </w:p>
        </w:tc>
        <w:tc>
          <w:tcPr>
            <w:tcW w:w="1000" w:type="dxa"/>
            <w:noWrap/>
            <w:hideMark/>
          </w:tcPr>
          <w:p w14:paraId="4BDBB4C6" w14:textId="77777777" w:rsidR="00112F64" w:rsidRPr="00112F64" w:rsidRDefault="00112F64" w:rsidP="002B358B">
            <w:pPr>
              <w:spacing w:line="360" w:lineRule="auto"/>
              <w:jc w:val="both"/>
              <w:rPr>
                <w:sz w:val="18"/>
                <w:szCs w:val="18"/>
              </w:rPr>
            </w:pPr>
            <w:r w:rsidRPr="00112F64">
              <w:rPr>
                <w:sz w:val="18"/>
                <w:szCs w:val="18"/>
              </w:rPr>
              <w:t>14</w:t>
            </w:r>
          </w:p>
        </w:tc>
        <w:tc>
          <w:tcPr>
            <w:tcW w:w="784" w:type="dxa"/>
            <w:noWrap/>
            <w:hideMark/>
          </w:tcPr>
          <w:p w14:paraId="46B2F53C" w14:textId="77777777" w:rsidR="00112F64" w:rsidRPr="00112F64" w:rsidRDefault="00112F64" w:rsidP="002B358B">
            <w:pPr>
              <w:spacing w:line="360" w:lineRule="auto"/>
              <w:jc w:val="both"/>
              <w:rPr>
                <w:sz w:val="18"/>
                <w:szCs w:val="18"/>
              </w:rPr>
            </w:pPr>
            <w:r w:rsidRPr="00112F64">
              <w:rPr>
                <w:sz w:val="18"/>
                <w:szCs w:val="18"/>
              </w:rPr>
              <w:t>194</w:t>
            </w:r>
          </w:p>
        </w:tc>
        <w:tc>
          <w:tcPr>
            <w:tcW w:w="1121" w:type="dxa"/>
            <w:noWrap/>
            <w:hideMark/>
          </w:tcPr>
          <w:p w14:paraId="5A76C873" w14:textId="77777777" w:rsidR="00112F64" w:rsidRPr="00112F64" w:rsidRDefault="00112F64" w:rsidP="002B358B">
            <w:pPr>
              <w:spacing w:line="360" w:lineRule="auto"/>
              <w:jc w:val="both"/>
              <w:rPr>
                <w:sz w:val="18"/>
                <w:szCs w:val="18"/>
              </w:rPr>
            </w:pPr>
            <w:r w:rsidRPr="00112F64">
              <w:rPr>
                <w:sz w:val="18"/>
                <w:szCs w:val="18"/>
              </w:rPr>
              <w:t>86</w:t>
            </w:r>
          </w:p>
        </w:tc>
        <w:tc>
          <w:tcPr>
            <w:tcW w:w="1350" w:type="dxa"/>
            <w:noWrap/>
            <w:hideMark/>
          </w:tcPr>
          <w:p w14:paraId="19F4D2D3" w14:textId="77777777" w:rsidR="00112F64" w:rsidRPr="00112F64" w:rsidRDefault="00112F64" w:rsidP="002B358B">
            <w:pPr>
              <w:spacing w:line="360" w:lineRule="auto"/>
              <w:jc w:val="both"/>
              <w:rPr>
                <w:sz w:val="18"/>
                <w:szCs w:val="18"/>
              </w:rPr>
            </w:pPr>
            <w:r w:rsidRPr="00112F64">
              <w:rPr>
                <w:sz w:val="18"/>
                <w:szCs w:val="18"/>
              </w:rPr>
              <w:t>13</w:t>
            </w:r>
          </w:p>
        </w:tc>
        <w:tc>
          <w:tcPr>
            <w:tcW w:w="1287" w:type="dxa"/>
            <w:noWrap/>
            <w:hideMark/>
          </w:tcPr>
          <w:p w14:paraId="6048A378" w14:textId="77777777" w:rsidR="00112F64" w:rsidRPr="00112F64" w:rsidRDefault="00112F64" w:rsidP="002B358B">
            <w:pPr>
              <w:spacing w:line="360" w:lineRule="auto"/>
              <w:jc w:val="both"/>
              <w:rPr>
                <w:sz w:val="18"/>
                <w:szCs w:val="18"/>
              </w:rPr>
            </w:pPr>
            <w:r w:rsidRPr="00112F64">
              <w:rPr>
                <w:sz w:val="18"/>
                <w:szCs w:val="18"/>
              </w:rPr>
              <w:t>2</w:t>
            </w:r>
          </w:p>
        </w:tc>
        <w:tc>
          <w:tcPr>
            <w:tcW w:w="906" w:type="dxa"/>
            <w:noWrap/>
            <w:hideMark/>
          </w:tcPr>
          <w:p w14:paraId="5DB422FC" w14:textId="77777777" w:rsidR="00112F64" w:rsidRPr="00112F64" w:rsidRDefault="00112F64" w:rsidP="002B358B">
            <w:pPr>
              <w:spacing w:line="360" w:lineRule="auto"/>
              <w:jc w:val="both"/>
              <w:rPr>
                <w:b/>
                <w:bCs/>
                <w:sz w:val="18"/>
                <w:szCs w:val="18"/>
              </w:rPr>
            </w:pPr>
            <w:r w:rsidRPr="00112F64">
              <w:rPr>
                <w:b/>
                <w:bCs/>
                <w:sz w:val="18"/>
                <w:szCs w:val="18"/>
              </w:rPr>
              <w:t>601</w:t>
            </w:r>
          </w:p>
        </w:tc>
      </w:tr>
      <w:tr w:rsidR="00112F64" w:rsidRPr="00112F64" w14:paraId="016775D2" w14:textId="77777777" w:rsidTr="0047623E">
        <w:trPr>
          <w:trHeight w:val="290"/>
        </w:trPr>
        <w:tc>
          <w:tcPr>
            <w:tcW w:w="784" w:type="dxa"/>
            <w:noWrap/>
            <w:hideMark/>
          </w:tcPr>
          <w:p w14:paraId="6FFBC41D" w14:textId="77777777" w:rsidR="00112F64" w:rsidRPr="00112F64" w:rsidRDefault="00112F64" w:rsidP="002B358B">
            <w:pPr>
              <w:spacing w:line="360" w:lineRule="auto"/>
              <w:jc w:val="both"/>
              <w:rPr>
                <w:b/>
                <w:bCs/>
                <w:sz w:val="18"/>
                <w:szCs w:val="18"/>
              </w:rPr>
            </w:pPr>
            <w:r w:rsidRPr="00112F64">
              <w:rPr>
                <w:b/>
                <w:bCs/>
                <w:sz w:val="18"/>
                <w:szCs w:val="18"/>
              </w:rPr>
              <w:t>2020</w:t>
            </w:r>
          </w:p>
        </w:tc>
        <w:tc>
          <w:tcPr>
            <w:tcW w:w="1179" w:type="dxa"/>
            <w:noWrap/>
            <w:hideMark/>
          </w:tcPr>
          <w:p w14:paraId="289F7ECD" w14:textId="77777777" w:rsidR="00112F64" w:rsidRPr="00112F64" w:rsidRDefault="00112F64" w:rsidP="002B358B">
            <w:pPr>
              <w:spacing w:line="360" w:lineRule="auto"/>
              <w:jc w:val="both"/>
              <w:rPr>
                <w:sz w:val="18"/>
                <w:szCs w:val="18"/>
              </w:rPr>
            </w:pPr>
            <w:r w:rsidRPr="00112F64">
              <w:rPr>
                <w:sz w:val="18"/>
                <w:szCs w:val="18"/>
              </w:rPr>
              <w:t>144</w:t>
            </w:r>
          </w:p>
        </w:tc>
        <w:tc>
          <w:tcPr>
            <w:tcW w:w="939" w:type="dxa"/>
            <w:noWrap/>
            <w:hideMark/>
          </w:tcPr>
          <w:p w14:paraId="09D05877" w14:textId="77777777" w:rsidR="00112F64" w:rsidRPr="00112F64" w:rsidRDefault="00112F64" w:rsidP="002B358B">
            <w:pPr>
              <w:spacing w:line="360" w:lineRule="auto"/>
              <w:jc w:val="both"/>
              <w:rPr>
                <w:sz w:val="18"/>
                <w:szCs w:val="18"/>
              </w:rPr>
            </w:pPr>
            <w:r w:rsidRPr="00112F64">
              <w:rPr>
                <w:sz w:val="18"/>
                <w:szCs w:val="18"/>
              </w:rPr>
              <w:t>110</w:t>
            </w:r>
          </w:p>
        </w:tc>
        <w:tc>
          <w:tcPr>
            <w:tcW w:w="1000" w:type="dxa"/>
            <w:noWrap/>
            <w:hideMark/>
          </w:tcPr>
          <w:p w14:paraId="18DE867A" w14:textId="77777777" w:rsidR="00112F64" w:rsidRPr="00112F64" w:rsidRDefault="00112F64" w:rsidP="002B358B">
            <w:pPr>
              <w:spacing w:line="360" w:lineRule="auto"/>
              <w:jc w:val="both"/>
              <w:rPr>
                <w:sz w:val="18"/>
                <w:szCs w:val="18"/>
              </w:rPr>
            </w:pPr>
            <w:r w:rsidRPr="00112F64">
              <w:rPr>
                <w:sz w:val="18"/>
                <w:szCs w:val="18"/>
              </w:rPr>
              <w:t>15</w:t>
            </w:r>
          </w:p>
        </w:tc>
        <w:tc>
          <w:tcPr>
            <w:tcW w:w="784" w:type="dxa"/>
            <w:noWrap/>
            <w:hideMark/>
          </w:tcPr>
          <w:p w14:paraId="2BD9C778" w14:textId="77777777" w:rsidR="00112F64" w:rsidRPr="00112F64" w:rsidRDefault="00112F64" w:rsidP="002B358B">
            <w:pPr>
              <w:spacing w:line="360" w:lineRule="auto"/>
              <w:jc w:val="both"/>
              <w:rPr>
                <w:sz w:val="18"/>
                <w:szCs w:val="18"/>
              </w:rPr>
            </w:pPr>
            <w:r w:rsidRPr="00112F64">
              <w:rPr>
                <w:sz w:val="18"/>
                <w:szCs w:val="18"/>
              </w:rPr>
              <w:t>175</w:t>
            </w:r>
          </w:p>
        </w:tc>
        <w:tc>
          <w:tcPr>
            <w:tcW w:w="1121" w:type="dxa"/>
            <w:noWrap/>
            <w:hideMark/>
          </w:tcPr>
          <w:p w14:paraId="5CC61591" w14:textId="77777777" w:rsidR="00112F64" w:rsidRPr="00112F64" w:rsidRDefault="00112F64" w:rsidP="002B358B">
            <w:pPr>
              <w:spacing w:line="360" w:lineRule="auto"/>
              <w:jc w:val="both"/>
              <w:rPr>
                <w:sz w:val="18"/>
                <w:szCs w:val="18"/>
              </w:rPr>
            </w:pPr>
            <w:r w:rsidRPr="00112F64">
              <w:rPr>
                <w:sz w:val="18"/>
                <w:szCs w:val="18"/>
              </w:rPr>
              <w:t>69</w:t>
            </w:r>
          </w:p>
        </w:tc>
        <w:tc>
          <w:tcPr>
            <w:tcW w:w="1350" w:type="dxa"/>
            <w:noWrap/>
            <w:hideMark/>
          </w:tcPr>
          <w:p w14:paraId="363646C0" w14:textId="77777777" w:rsidR="00112F64" w:rsidRPr="00112F64" w:rsidRDefault="00112F64" w:rsidP="002B358B">
            <w:pPr>
              <w:spacing w:line="360" w:lineRule="auto"/>
              <w:jc w:val="both"/>
              <w:rPr>
                <w:sz w:val="18"/>
                <w:szCs w:val="18"/>
              </w:rPr>
            </w:pPr>
            <w:r w:rsidRPr="00112F64">
              <w:rPr>
                <w:sz w:val="18"/>
                <w:szCs w:val="18"/>
              </w:rPr>
              <w:t>5</w:t>
            </w:r>
          </w:p>
        </w:tc>
        <w:tc>
          <w:tcPr>
            <w:tcW w:w="1287" w:type="dxa"/>
            <w:noWrap/>
            <w:hideMark/>
          </w:tcPr>
          <w:p w14:paraId="5B44FCE1" w14:textId="77777777" w:rsidR="00112F64" w:rsidRPr="00112F64" w:rsidRDefault="00112F64" w:rsidP="002B358B">
            <w:pPr>
              <w:spacing w:line="360" w:lineRule="auto"/>
              <w:jc w:val="both"/>
              <w:rPr>
                <w:sz w:val="18"/>
                <w:szCs w:val="18"/>
              </w:rPr>
            </w:pPr>
            <w:r w:rsidRPr="00112F64">
              <w:rPr>
                <w:sz w:val="18"/>
                <w:szCs w:val="18"/>
              </w:rPr>
              <w:t>3</w:t>
            </w:r>
          </w:p>
        </w:tc>
        <w:tc>
          <w:tcPr>
            <w:tcW w:w="906" w:type="dxa"/>
            <w:noWrap/>
            <w:hideMark/>
          </w:tcPr>
          <w:p w14:paraId="00A6285F" w14:textId="77777777" w:rsidR="00112F64" w:rsidRPr="00112F64" w:rsidRDefault="00112F64" w:rsidP="002B358B">
            <w:pPr>
              <w:spacing w:line="360" w:lineRule="auto"/>
              <w:jc w:val="both"/>
              <w:rPr>
                <w:b/>
                <w:bCs/>
                <w:sz w:val="18"/>
                <w:szCs w:val="18"/>
              </w:rPr>
            </w:pPr>
            <w:r w:rsidRPr="00112F64">
              <w:rPr>
                <w:b/>
                <w:bCs/>
                <w:sz w:val="18"/>
                <w:szCs w:val="18"/>
              </w:rPr>
              <w:t>521</w:t>
            </w:r>
          </w:p>
        </w:tc>
      </w:tr>
      <w:tr w:rsidR="00112F64" w:rsidRPr="00112F64" w14:paraId="1E7F58C2" w14:textId="77777777" w:rsidTr="0047623E">
        <w:trPr>
          <w:trHeight w:val="290"/>
        </w:trPr>
        <w:tc>
          <w:tcPr>
            <w:tcW w:w="784" w:type="dxa"/>
            <w:noWrap/>
            <w:hideMark/>
          </w:tcPr>
          <w:p w14:paraId="791F9A55" w14:textId="77777777" w:rsidR="00112F64" w:rsidRPr="00112F64" w:rsidRDefault="00112F64" w:rsidP="002B358B">
            <w:pPr>
              <w:spacing w:line="360" w:lineRule="auto"/>
              <w:jc w:val="both"/>
              <w:rPr>
                <w:b/>
                <w:bCs/>
                <w:sz w:val="18"/>
                <w:szCs w:val="18"/>
              </w:rPr>
            </w:pPr>
            <w:r w:rsidRPr="00112F64">
              <w:rPr>
                <w:b/>
                <w:bCs/>
                <w:sz w:val="18"/>
                <w:szCs w:val="18"/>
              </w:rPr>
              <w:t>2021</w:t>
            </w:r>
          </w:p>
        </w:tc>
        <w:tc>
          <w:tcPr>
            <w:tcW w:w="1179" w:type="dxa"/>
            <w:noWrap/>
            <w:hideMark/>
          </w:tcPr>
          <w:p w14:paraId="4C709830" w14:textId="77777777" w:rsidR="00112F64" w:rsidRPr="00112F64" w:rsidRDefault="00112F64" w:rsidP="002B358B">
            <w:pPr>
              <w:spacing w:line="360" w:lineRule="auto"/>
              <w:jc w:val="both"/>
              <w:rPr>
                <w:sz w:val="18"/>
                <w:szCs w:val="18"/>
              </w:rPr>
            </w:pPr>
            <w:r w:rsidRPr="00112F64">
              <w:rPr>
                <w:sz w:val="18"/>
                <w:szCs w:val="18"/>
              </w:rPr>
              <w:t>173</w:t>
            </w:r>
          </w:p>
        </w:tc>
        <w:tc>
          <w:tcPr>
            <w:tcW w:w="939" w:type="dxa"/>
            <w:noWrap/>
            <w:hideMark/>
          </w:tcPr>
          <w:p w14:paraId="168B4AEC" w14:textId="77777777" w:rsidR="00112F64" w:rsidRPr="00112F64" w:rsidRDefault="00112F64" w:rsidP="002B358B">
            <w:pPr>
              <w:spacing w:line="360" w:lineRule="auto"/>
              <w:jc w:val="both"/>
              <w:rPr>
                <w:sz w:val="18"/>
                <w:szCs w:val="18"/>
              </w:rPr>
            </w:pPr>
            <w:r w:rsidRPr="00112F64">
              <w:rPr>
                <w:sz w:val="18"/>
                <w:szCs w:val="18"/>
              </w:rPr>
              <w:t>119</w:t>
            </w:r>
          </w:p>
        </w:tc>
        <w:tc>
          <w:tcPr>
            <w:tcW w:w="1000" w:type="dxa"/>
            <w:noWrap/>
            <w:hideMark/>
          </w:tcPr>
          <w:p w14:paraId="78C5FF45" w14:textId="77777777" w:rsidR="00112F64" w:rsidRPr="00112F64" w:rsidRDefault="00112F64" w:rsidP="002B358B">
            <w:pPr>
              <w:spacing w:line="360" w:lineRule="auto"/>
              <w:jc w:val="both"/>
              <w:rPr>
                <w:sz w:val="18"/>
                <w:szCs w:val="18"/>
              </w:rPr>
            </w:pPr>
            <w:r w:rsidRPr="00112F64">
              <w:rPr>
                <w:sz w:val="18"/>
                <w:szCs w:val="18"/>
              </w:rPr>
              <w:t>14</w:t>
            </w:r>
          </w:p>
        </w:tc>
        <w:tc>
          <w:tcPr>
            <w:tcW w:w="784" w:type="dxa"/>
            <w:noWrap/>
            <w:hideMark/>
          </w:tcPr>
          <w:p w14:paraId="5EDEFB77" w14:textId="77777777" w:rsidR="00112F64" w:rsidRPr="00112F64" w:rsidRDefault="00112F64" w:rsidP="002B358B">
            <w:pPr>
              <w:spacing w:line="360" w:lineRule="auto"/>
              <w:jc w:val="both"/>
              <w:rPr>
                <w:sz w:val="18"/>
                <w:szCs w:val="18"/>
              </w:rPr>
            </w:pPr>
            <w:r w:rsidRPr="00112F64">
              <w:rPr>
                <w:sz w:val="18"/>
                <w:szCs w:val="18"/>
              </w:rPr>
              <w:t>161</w:t>
            </w:r>
          </w:p>
        </w:tc>
        <w:tc>
          <w:tcPr>
            <w:tcW w:w="1121" w:type="dxa"/>
            <w:noWrap/>
            <w:hideMark/>
          </w:tcPr>
          <w:p w14:paraId="2B61F8BF" w14:textId="77777777" w:rsidR="00112F64" w:rsidRPr="00112F64" w:rsidRDefault="00112F64" w:rsidP="002B358B">
            <w:pPr>
              <w:spacing w:line="360" w:lineRule="auto"/>
              <w:jc w:val="both"/>
              <w:rPr>
                <w:sz w:val="18"/>
                <w:szCs w:val="18"/>
              </w:rPr>
            </w:pPr>
            <w:r w:rsidRPr="00112F64">
              <w:rPr>
                <w:sz w:val="18"/>
                <w:szCs w:val="18"/>
              </w:rPr>
              <w:t>0</w:t>
            </w:r>
          </w:p>
        </w:tc>
        <w:tc>
          <w:tcPr>
            <w:tcW w:w="1350" w:type="dxa"/>
            <w:noWrap/>
            <w:hideMark/>
          </w:tcPr>
          <w:p w14:paraId="68907C2B" w14:textId="77777777" w:rsidR="00112F64" w:rsidRPr="00112F64" w:rsidRDefault="00112F64" w:rsidP="002B358B">
            <w:pPr>
              <w:spacing w:line="360" w:lineRule="auto"/>
              <w:jc w:val="both"/>
              <w:rPr>
                <w:sz w:val="18"/>
                <w:szCs w:val="18"/>
              </w:rPr>
            </w:pPr>
            <w:r w:rsidRPr="00112F64">
              <w:rPr>
                <w:sz w:val="18"/>
                <w:szCs w:val="18"/>
              </w:rPr>
              <w:t>2</w:t>
            </w:r>
          </w:p>
        </w:tc>
        <w:tc>
          <w:tcPr>
            <w:tcW w:w="1287" w:type="dxa"/>
            <w:noWrap/>
            <w:hideMark/>
          </w:tcPr>
          <w:p w14:paraId="09F87416" w14:textId="77777777" w:rsidR="00112F64" w:rsidRPr="00112F64" w:rsidRDefault="00112F64" w:rsidP="002B358B">
            <w:pPr>
              <w:spacing w:line="360" w:lineRule="auto"/>
              <w:jc w:val="both"/>
              <w:rPr>
                <w:sz w:val="18"/>
                <w:szCs w:val="18"/>
              </w:rPr>
            </w:pPr>
            <w:r w:rsidRPr="00112F64">
              <w:rPr>
                <w:sz w:val="18"/>
                <w:szCs w:val="18"/>
              </w:rPr>
              <w:t>2</w:t>
            </w:r>
          </w:p>
        </w:tc>
        <w:tc>
          <w:tcPr>
            <w:tcW w:w="906" w:type="dxa"/>
            <w:noWrap/>
            <w:hideMark/>
          </w:tcPr>
          <w:p w14:paraId="1B8A2A24" w14:textId="77777777" w:rsidR="00112F64" w:rsidRPr="00112F64" w:rsidRDefault="00112F64" w:rsidP="002B358B">
            <w:pPr>
              <w:spacing w:line="360" w:lineRule="auto"/>
              <w:jc w:val="both"/>
              <w:rPr>
                <w:b/>
                <w:bCs/>
                <w:sz w:val="18"/>
                <w:szCs w:val="18"/>
              </w:rPr>
            </w:pPr>
            <w:r w:rsidRPr="00112F64">
              <w:rPr>
                <w:b/>
                <w:bCs/>
                <w:sz w:val="18"/>
                <w:szCs w:val="18"/>
              </w:rPr>
              <w:t>471</w:t>
            </w:r>
          </w:p>
        </w:tc>
      </w:tr>
      <w:tr w:rsidR="00112F64" w:rsidRPr="00112F64" w14:paraId="5EA03135" w14:textId="77777777" w:rsidTr="0047623E">
        <w:trPr>
          <w:trHeight w:val="290"/>
        </w:trPr>
        <w:tc>
          <w:tcPr>
            <w:tcW w:w="784" w:type="dxa"/>
            <w:noWrap/>
            <w:hideMark/>
          </w:tcPr>
          <w:p w14:paraId="167CCE5D" w14:textId="77777777" w:rsidR="00112F64" w:rsidRPr="00112F64" w:rsidRDefault="00112F64" w:rsidP="002B358B">
            <w:pPr>
              <w:spacing w:line="360" w:lineRule="auto"/>
              <w:jc w:val="both"/>
              <w:rPr>
                <w:b/>
                <w:bCs/>
                <w:sz w:val="18"/>
                <w:szCs w:val="18"/>
              </w:rPr>
            </w:pPr>
            <w:r w:rsidRPr="00112F64">
              <w:rPr>
                <w:b/>
                <w:bCs/>
                <w:sz w:val="18"/>
                <w:szCs w:val="18"/>
              </w:rPr>
              <w:t>2022</w:t>
            </w:r>
          </w:p>
        </w:tc>
        <w:tc>
          <w:tcPr>
            <w:tcW w:w="1179" w:type="dxa"/>
            <w:noWrap/>
            <w:hideMark/>
          </w:tcPr>
          <w:p w14:paraId="4D058EFD" w14:textId="77777777" w:rsidR="00112F64" w:rsidRPr="00112F64" w:rsidRDefault="00112F64" w:rsidP="002B358B">
            <w:pPr>
              <w:spacing w:line="360" w:lineRule="auto"/>
              <w:jc w:val="both"/>
              <w:rPr>
                <w:sz w:val="18"/>
                <w:szCs w:val="18"/>
              </w:rPr>
            </w:pPr>
            <w:r w:rsidRPr="00112F64">
              <w:rPr>
                <w:sz w:val="18"/>
                <w:szCs w:val="18"/>
              </w:rPr>
              <w:t>167</w:t>
            </w:r>
          </w:p>
        </w:tc>
        <w:tc>
          <w:tcPr>
            <w:tcW w:w="939" w:type="dxa"/>
            <w:noWrap/>
            <w:hideMark/>
          </w:tcPr>
          <w:p w14:paraId="694B6B81" w14:textId="77777777" w:rsidR="00112F64" w:rsidRPr="00112F64" w:rsidRDefault="00112F64" w:rsidP="002B358B">
            <w:pPr>
              <w:spacing w:line="360" w:lineRule="auto"/>
              <w:jc w:val="both"/>
              <w:rPr>
                <w:sz w:val="18"/>
                <w:szCs w:val="18"/>
              </w:rPr>
            </w:pPr>
            <w:r w:rsidRPr="00112F64">
              <w:rPr>
                <w:sz w:val="18"/>
                <w:szCs w:val="18"/>
              </w:rPr>
              <w:t>128</w:t>
            </w:r>
          </w:p>
        </w:tc>
        <w:tc>
          <w:tcPr>
            <w:tcW w:w="1000" w:type="dxa"/>
            <w:noWrap/>
            <w:hideMark/>
          </w:tcPr>
          <w:p w14:paraId="0D682DC6" w14:textId="77777777" w:rsidR="00112F64" w:rsidRPr="00112F64" w:rsidRDefault="00112F64" w:rsidP="002B358B">
            <w:pPr>
              <w:spacing w:line="360" w:lineRule="auto"/>
              <w:jc w:val="both"/>
              <w:rPr>
                <w:sz w:val="18"/>
                <w:szCs w:val="18"/>
              </w:rPr>
            </w:pPr>
            <w:r w:rsidRPr="00112F64">
              <w:rPr>
                <w:sz w:val="18"/>
                <w:szCs w:val="18"/>
              </w:rPr>
              <w:t>17</w:t>
            </w:r>
          </w:p>
        </w:tc>
        <w:tc>
          <w:tcPr>
            <w:tcW w:w="784" w:type="dxa"/>
            <w:noWrap/>
            <w:hideMark/>
          </w:tcPr>
          <w:p w14:paraId="70B0CCB5" w14:textId="77777777" w:rsidR="00112F64" w:rsidRPr="00112F64" w:rsidRDefault="00112F64" w:rsidP="002B358B">
            <w:pPr>
              <w:spacing w:line="360" w:lineRule="auto"/>
              <w:jc w:val="both"/>
              <w:rPr>
                <w:sz w:val="18"/>
                <w:szCs w:val="18"/>
              </w:rPr>
            </w:pPr>
            <w:r w:rsidRPr="00112F64">
              <w:rPr>
                <w:sz w:val="18"/>
                <w:szCs w:val="18"/>
              </w:rPr>
              <w:t>153</w:t>
            </w:r>
          </w:p>
        </w:tc>
        <w:tc>
          <w:tcPr>
            <w:tcW w:w="1121" w:type="dxa"/>
            <w:noWrap/>
            <w:hideMark/>
          </w:tcPr>
          <w:p w14:paraId="49AA3C68" w14:textId="77777777" w:rsidR="00112F64" w:rsidRPr="00112F64" w:rsidRDefault="00112F64" w:rsidP="002B358B">
            <w:pPr>
              <w:spacing w:line="360" w:lineRule="auto"/>
              <w:jc w:val="both"/>
              <w:rPr>
                <w:sz w:val="18"/>
                <w:szCs w:val="18"/>
              </w:rPr>
            </w:pPr>
            <w:r w:rsidRPr="00112F64">
              <w:rPr>
                <w:sz w:val="18"/>
                <w:szCs w:val="18"/>
              </w:rPr>
              <w:t>87</w:t>
            </w:r>
          </w:p>
        </w:tc>
        <w:tc>
          <w:tcPr>
            <w:tcW w:w="1350" w:type="dxa"/>
            <w:noWrap/>
            <w:hideMark/>
          </w:tcPr>
          <w:p w14:paraId="22DC36FA" w14:textId="77777777" w:rsidR="00112F64" w:rsidRPr="00112F64" w:rsidRDefault="00112F64" w:rsidP="002B358B">
            <w:pPr>
              <w:spacing w:line="360" w:lineRule="auto"/>
              <w:jc w:val="both"/>
              <w:rPr>
                <w:sz w:val="18"/>
                <w:szCs w:val="18"/>
              </w:rPr>
            </w:pPr>
            <w:r w:rsidRPr="00112F64">
              <w:rPr>
                <w:sz w:val="18"/>
                <w:szCs w:val="18"/>
              </w:rPr>
              <w:t>4</w:t>
            </w:r>
          </w:p>
        </w:tc>
        <w:tc>
          <w:tcPr>
            <w:tcW w:w="1287" w:type="dxa"/>
            <w:noWrap/>
            <w:hideMark/>
          </w:tcPr>
          <w:p w14:paraId="7535DC73" w14:textId="77777777" w:rsidR="00112F64" w:rsidRPr="00112F64" w:rsidRDefault="00112F64" w:rsidP="002B358B">
            <w:pPr>
              <w:spacing w:line="360" w:lineRule="auto"/>
              <w:jc w:val="both"/>
              <w:rPr>
                <w:sz w:val="18"/>
                <w:szCs w:val="18"/>
              </w:rPr>
            </w:pPr>
            <w:r w:rsidRPr="00112F64">
              <w:rPr>
                <w:sz w:val="18"/>
                <w:szCs w:val="18"/>
              </w:rPr>
              <w:t>4</w:t>
            </w:r>
          </w:p>
        </w:tc>
        <w:tc>
          <w:tcPr>
            <w:tcW w:w="906" w:type="dxa"/>
            <w:noWrap/>
            <w:hideMark/>
          </w:tcPr>
          <w:p w14:paraId="2E571A7E" w14:textId="77777777" w:rsidR="00112F64" w:rsidRPr="00112F64" w:rsidRDefault="00112F64" w:rsidP="002B358B">
            <w:pPr>
              <w:spacing w:line="360" w:lineRule="auto"/>
              <w:jc w:val="both"/>
              <w:rPr>
                <w:b/>
                <w:bCs/>
                <w:sz w:val="18"/>
                <w:szCs w:val="18"/>
              </w:rPr>
            </w:pPr>
            <w:r w:rsidRPr="00112F64">
              <w:rPr>
                <w:b/>
                <w:bCs/>
                <w:sz w:val="18"/>
                <w:szCs w:val="18"/>
              </w:rPr>
              <w:t>658</w:t>
            </w:r>
          </w:p>
        </w:tc>
      </w:tr>
      <w:tr w:rsidR="00112F64" w:rsidRPr="00112F64" w14:paraId="617AB786" w14:textId="77777777" w:rsidTr="0047623E">
        <w:trPr>
          <w:trHeight w:val="290"/>
        </w:trPr>
        <w:tc>
          <w:tcPr>
            <w:tcW w:w="784" w:type="dxa"/>
            <w:noWrap/>
            <w:hideMark/>
          </w:tcPr>
          <w:p w14:paraId="428CAB80" w14:textId="77777777" w:rsidR="00112F64" w:rsidRPr="00112F64" w:rsidRDefault="00112F64" w:rsidP="002B358B">
            <w:pPr>
              <w:spacing w:line="360" w:lineRule="auto"/>
              <w:jc w:val="both"/>
              <w:rPr>
                <w:b/>
                <w:bCs/>
                <w:sz w:val="18"/>
                <w:szCs w:val="18"/>
              </w:rPr>
            </w:pPr>
            <w:r w:rsidRPr="00112F64">
              <w:rPr>
                <w:b/>
                <w:bCs/>
                <w:sz w:val="18"/>
                <w:szCs w:val="18"/>
              </w:rPr>
              <w:t>2023</w:t>
            </w:r>
          </w:p>
        </w:tc>
        <w:tc>
          <w:tcPr>
            <w:tcW w:w="1179" w:type="dxa"/>
            <w:noWrap/>
            <w:hideMark/>
          </w:tcPr>
          <w:p w14:paraId="299C20E6" w14:textId="77777777" w:rsidR="00112F64" w:rsidRPr="00112F64" w:rsidRDefault="00112F64" w:rsidP="002B358B">
            <w:pPr>
              <w:spacing w:line="360" w:lineRule="auto"/>
              <w:jc w:val="both"/>
              <w:rPr>
                <w:sz w:val="18"/>
                <w:szCs w:val="18"/>
              </w:rPr>
            </w:pPr>
            <w:r w:rsidRPr="00112F64">
              <w:rPr>
                <w:sz w:val="18"/>
                <w:szCs w:val="18"/>
              </w:rPr>
              <w:t>175</w:t>
            </w:r>
          </w:p>
        </w:tc>
        <w:tc>
          <w:tcPr>
            <w:tcW w:w="939" w:type="dxa"/>
            <w:noWrap/>
            <w:hideMark/>
          </w:tcPr>
          <w:p w14:paraId="65A6D166" w14:textId="77777777" w:rsidR="00112F64" w:rsidRPr="00112F64" w:rsidRDefault="00112F64" w:rsidP="002B358B">
            <w:pPr>
              <w:spacing w:line="360" w:lineRule="auto"/>
              <w:jc w:val="both"/>
              <w:rPr>
                <w:sz w:val="18"/>
                <w:szCs w:val="18"/>
              </w:rPr>
            </w:pPr>
            <w:r w:rsidRPr="00112F64">
              <w:rPr>
                <w:sz w:val="18"/>
                <w:szCs w:val="18"/>
              </w:rPr>
              <w:t>147</w:t>
            </w:r>
          </w:p>
        </w:tc>
        <w:tc>
          <w:tcPr>
            <w:tcW w:w="1000" w:type="dxa"/>
            <w:noWrap/>
            <w:hideMark/>
          </w:tcPr>
          <w:p w14:paraId="4BBC1896" w14:textId="77777777" w:rsidR="00112F64" w:rsidRPr="00112F64" w:rsidRDefault="00112F64" w:rsidP="002B358B">
            <w:pPr>
              <w:spacing w:line="360" w:lineRule="auto"/>
              <w:jc w:val="both"/>
              <w:rPr>
                <w:sz w:val="18"/>
                <w:szCs w:val="18"/>
              </w:rPr>
            </w:pPr>
            <w:r w:rsidRPr="00112F64">
              <w:rPr>
                <w:sz w:val="18"/>
                <w:szCs w:val="18"/>
              </w:rPr>
              <w:t>152</w:t>
            </w:r>
          </w:p>
        </w:tc>
        <w:tc>
          <w:tcPr>
            <w:tcW w:w="784" w:type="dxa"/>
            <w:noWrap/>
            <w:hideMark/>
          </w:tcPr>
          <w:p w14:paraId="0A0806DD" w14:textId="77777777" w:rsidR="00112F64" w:rsidRPr="00112F64" w:rsidRDefault="00112F64" w:rsidP="002B358B">
            <w:pPr>
              <w:spacing w:line="360" w:lineRule="auto"/>
              <w:jc w:val="both"/>
              <w:rPr>
                <w:sz w:val="18"/>
                <w:szCs w:val="18"/>
              </w:rPr>
            </w:pPr>
            <w:r w:rsidRPr="00112F64">
              <w:rPr>
                <w:sz w:val="18"/>
                <w:szCs w:val="18"/>
              </w:rPr>
              <w:t>224</w:t>
            </w:r>
          </w:p>
        </w:tc>
        <w:tc>
          <w:tcPr>
            <w:tcW w:w="1121" w:type="dxa"/>
            <w:noWrap/>
            <w:hideMark/>
          </w:tcPr>
          <w:p w14:paraId="70FC13FD" w14:textId="77777777" w:rsidR="00112F64" w:rsidRPr="00112F64" w:rsidRDefault="00112F64" w:rsidP="002B358B">
            <w:pPr>
              <w:spacing w:line="360" w:lineRule="auto"/>
              <w:jc w:val="both"/>
              <w:rPr>
                <w:sz w:val="18"/>
                <w:szCs w:val="18"/>
              </w:rPr>
            </w:pPr>
            <w:r w:rsidRPr="00112F64">
              <w:rPr>
                <w:sz w:val="18"/>
                <w:szCs w:val="18"/>
              </w:rPr>
              <w:t>86</w:t>
            </w:r>
          </w:p>
        </w:tc>
        <w:tc>
          <w:tcPr>
            <w:tcW w:w="1350" w:type="dxa"/>
            <w:noWrap/>
            <w:hideMark/>
          </w:tcPr>
          <w:p w14:paraId="1197CA99" w14:textId="77777777" w:rsidR="00112F64" w:rsidRPr="00112F64" w:rsidRDefault="00112F64" w:rsidP="002B358B">
            <w:pPr>
              <w:spacing w:line="360" w:lineRule="auto"/>
              <w:jc w:val="both"/>
              <w:rPr>
                <w:sz w:val="18"/>
                <w:szCs w:val="18"/>
              </w:rPr>
            </w:pPr>
            <w:r w:rsidRPr="00112F64">
              <w:rPr>
                <w:sz w:val="18"/>
                <w:szCs w:val="18"/>
              </w:rPr>
              <w:t>7</w:t>
            </w:r>
          </w:p>
        </w:tc>
        <w:tc>
          <w:tcPr>
            <w:tcW w:w="1287" w:type="dxa"/>
            <w:noWrap/>
            <w:hideMark/>
          </w:tcPr>
          <w:p w14:paraId="07440276" w14:textId="77777777" w:rsidR="00112F64" w:rsidRPr="00112F64" w:rsidRDefault="00112F64" w:rsidP="002B358B">
            <w:pPr>
              <w:spacing w:line="360" w:lineRule="auto"/>
              <w:jc w:val="both"/>
              <w:rPr>
                <w:sz w:val="18"/>
                <w:szCs w:val="18"/>
              </w:rPr>
            </w:pPr>
            <w:r w:rsidRPr="00112F64">
              <w:rPr>
                <w:sz w:val="18"/>
                <w:szCs w:val="18"/>
              </w:rPr>
              <w:t>4</w:t>
            </w:r>
          </w:p>
        </w:tc>
        <w:tc>
          <w:tcPr>
            <w:tcW w:w="906" w:type="dxa"/>
            <w:noWrap/>
            <w:hideMark/>
          </w:tcPr>
          <w:p w14:paraId="571F2928" w14:textId="77777777" w:rsidR="00112F64" w:rsidRPr="00112F64" w:rsidRDefault="00112F64" w:rsidP="002B358B">
            <w:pPr>
              <w:spacing w:line="360" w:lineRule="auto"/>
              <w:jc w:val="both"/>
              <w:rPr>
                <w:b/>
                <w:bCs/>
                <w:sz w:val="18"/>
                <w:szCs w:val="18"/>
              </w:rPr>
            </w:pPr>
            <w:r w:rsidRPr="00112F64">
              <w:rPr>
                <w:b/>
                <w:bCs/>
                <w:sz w:val="18"/>
                <w:szCs w:val="18"/>
              </w:rPr>
              <w:t>658</w:t>
            </w:r>
          </w:p>
        </w:tc>
      </w:tr>
      <w:tr w:rsidR="00112F64" w:rsidRPr="00112F64" w14:paraId="4336D189" w14:textId="77777777" w:rsidTr="0047623E">
        <w:trPr>
          <w:trHeight w:val="290"/>
        </w:trPr>
        <w:tc>
          <w:tcPr>
            <w:tcW w:w="784" w:type="dxa"/>
            <w:noWrap/>
            <w:hideMark/>
          </w:tcPr>
          <w:p w14:paraId="3BDF8146" w14:textId="77777777" w:rsidR="00112F64" w:rsidRPr="00112F64" w:rsidRDefault="00112F64" w:rsidP="002B358B">
            <w:pPr>
              <w:spacing w:line="360" w:lineRule="auto"/>
              <w:jc w:val="both"/>
              <w:rPr>
                <w:b/>
                <w:bCs/>
                <w:sz w:val="18"/>
                <w:szCs w:val="18"/>
              </w:rPr>
            </w:pPr>
            <w:r w:rsidRPr="00112F64">
              <w:rPr>
                <w:b/>
                <w:bCs/>
                <w:sz w:val="18"/>
                <w:szCs w:val="18"/>
              </w:rPr>
              <w:t>2024</w:t>
            </w:r>
          </w:p>
        </w:tc>
        <w:tc>
          <w:tcPr>
            <w:tcW w:w="1179" w:type="dxa"/>
            <w:noWrap/>
            <w:hideMark/>
          </w:tcPr>
          <w:p w14:paraId="086F1BFF" w14:textId="77777777" w:rsidR="00112F64" w:rsidRPr="00112F64" w:rsidRDefault="00112F64" w:rsidP="002B358B">
            <w:pPr>
              <w:spacing w:line="360" w:lineRule="auto"/>
              <w:jc w:val="both"/>
              <w:rPr>
                <w:sz w:val="18"/>
                <w:szCs w:val="18"/>
              </w:rPr>
            </w:pPr>
            <w:r w:rsidRPr="00112F64">
              <w:rPr>
                <w:sz w:val="18"/>
                <w:szCs w:val="18"/>
              </w:rPr>
              <w:t>161</w:t>
            </w:r>
          </w:p>
        </w:tc>
        <w:tc>
          <w:tcPr>
            <w:tcW w:w="939" w:type="dxa"/>
            <w:noWrap/>
            <w:hideMark/>
          </w:tcPr>
          <w:p w14:paraId="2991B6A4" w14:textId="77777777" w:rsidR="00112F64" w:rsidRPr="00112F64" w:rsidRDefault="00112F64" w:rsidP="002B358B">
            <w:pPr>
              <w:spacing w:line="360" w:lineRule="auto"/>
              <w:jc w:val="both"/>
              <w:rPr>
                <w:sz w:val="18"/>
                <w:szCs w:val="18"/>
              </w:rPr>
            </w:pPr>
            <w:r w:rsidRPr="00112F64">
              <w:rPr>
                <w:sz w:val="18"/>
                <w:szCs w:val="18"/>
              </w:rPr>
              <w:t>138</w:t>
            </w:r>
          </w:p>
        </w:tc>
        <w:tc>
          <w:tcPr>
            <w:tcW w:w="1000" w:type="dxa"/>
            <w:noWrap/>
            <w:hideMark/>
          </w:tcPr>
          <w:p w14:paraId="56188379" w14:textId="77777777" w:rsidR="00112F64" w:rsidRPr="00112F64" w:rsidRDefault="00112F64" w:rsidP="002B358B">
            <w:pPr>
              <w:spacing w:line="360" w:lineRule="auto"/>
              <w:jc w:val="both"/>
              <w:rPr>
                <w:sz w:val="18"/>
                <w:szCs w:val="18"/>
              </w:rPr>
            </w:pPr>
            <w:r w:rsidRPr="00112F64">
              <w:rPr>
                <w:sz w:val="18"/>
                <w:szCs w:val="18"/>
              </w:rPr>
              <w:t>10</w:t>
            </w:r>
          </w:p>
        </w:tc>
        <w:tc>
          <w:tcPr>
            <w:tcW w:w="784" w:type="dxa"/>
            <w:noWrap/>
            <w:hideMark/>
          </w:tcPr>
          <w:p w14:paraId="0578A741" w14:textId="77777777" w:rsidR="00112F64" w:rsidRPr="00112F64" w:rsidRDefault="00112F64" w:rsidP="002B358B">
            <w:pPr>
              <w:spacing w:line="360" w:lineRule="auto"/>
              <w:jc w:val="both"/>
              <w:rPr>
                <w:sz w:val="18"/>
                <w:szCs w:val="18"/>
              </w:rPr>
            </w:pPr>
            <w:r w:rsidRPr="00112F64">
              <w:rPr>
                <w:sz w:val="18"/>
                <w:szCs w:val="18"/>
              </w:rPr>
              <w:t>241</w:t>
            </w:r>
          </w:p>
        </w:tc>
        <w:tc>
          <w:tcPr>
            <w:tcW w:w="1121" w:type="dxa"/>
            <w:noWrap/>
            <w:hideMark/>
          </w:tcPr>
          <w:p w14:paraId="00B52A7B" w14:textId="77777777" w:rsidR="00112F64" w:rsidRPr="00112F64" w:rsidRDefault="00112F64" w:rsidP="002B358B">
            <w:pPr>
              <w:spacing w:line="360" w:lineRule="auto"/>
              <w:jc w:val="both"/>
              <w:rPr>
                <w:sz w:val="18"/>
                <w:szCs w:val="18"/>
              </w:rPr>
            </w:pPr>
            <w:r w:rsidRPr="00112F64">
              <w:rPr>
                <w:sz w:val="18"/>
                <w:szCs w:val="18"/>
              </w:rPr>
              <w:t>109</w:t>
            </w:r>
          </w:p>
        </w:tc>
        <w:tc>
          <w:tcPr>
            <w:tcW w:w="1350" w:type="dxa"/>
            <w:noWrap/>
            <w:hideMark/>
          </w:tcPr>
          <w:p w14:paraId="412B5732" w14:textId="77777777" w:rsidR="00112F64" w:rsidRPr="00112F64" w:rsidRDefault="00112F64" w:rsidP="002B358B">
            <w:pPr>
              <w:spacing w:line="360" w:lineRule="auto"/>
              <w:jc w:val="both"/>
              <w:rPr>
                <w:sz w:val="18"/>
                <w:szCs w:val="18"/>
              </w:rPr>
            </w:pPr>
            <w:r w:rsidRPr="00112F64">
              <w:rPr>
                <w:sz w:val="18"/>
                <w:szCs w:val="18"/>
              </w:rPr>
              <w:t>26</w:t>
            </w:r>
          </w:p>
        </w:tc>
        <w:tc>
          <w:tcPr>
            <w:tcW w:w="1287" w:type="dxa"/>
            <w:noWrap/>
            <w:hideMark/>
          </w:tcPr>
          <w:p w14:paraId="36BD00F1" w14:textId="77777777" w:rsidR="00112F64" w:rsidRPr="00112F64" w:rsidRDefault="00112F64" w:rsidP="002B358B">
            <w:pPr>
              <w:spacing w:line="360" w:lineRule="auto"/>
              <w:jc w:val="both"/>
              <w:rPr>
                <w:sz w:val="18"/>
                <w:szCs w:val="18"/>
              </w:rPr>
            </w:pPr>
            <w:r w:rsidRPr="00112F64">
              <w:rPr>
                <w:sz w:val="18"/>
                <w:szCs w:val="18"/>
              </w:rPr>
              <w:t>3</w:t>
            </w:r>
          </w:p>
        </w:tc>
        <w:tc>
          <w:tcPr>
            <w:tcW w:w="906" w:type="dxa"/>
            <w:noWrap/>
            <w:hideMark/>
          </w:tcPr>
          <w:p w14:paraId="0BD9F273" w14:textId="77777777" w:rsidR="00112F64" w:rsidRPr="00112F64" w:rsidRDefault="00112F64" w:rsidP="002B358B">
            <w:pPr>
              <w:spacing w:line="360" w:lineRule="auto"/>
              <w:jc w:val="both"/>
              <w:rPr>
                <w:b/>
                <w:bCs/>
                <w:sz w:val="18"/>
                <w:szCs w:val="18"/>
              </w:rPr>
            </w:pPr>
            <w:r w:rsidRPr="00112F64">
              <w:rPr>
                <w:b/>
                <w:bCs/>
                <w:sz w:val="18"/>
                <w:szCs w:val="18"/>
              </w:rPr>
              <w:t>688</w:t>
            </w:r>
          </w:p>
        </w:tc>
      </w:tr>
      <w:tr w:rsidR="00112F64" w:rsidRPr="00112F64" w14:paraId="1C90B3C2" w14:textId="77777777" w:rsidTr="0047623E">
        <w:trPr>
          <w:trHeight w:val="290"/>
        </w:trPr>
        <w:tc>
          <w:tcPr>
            <w:tcW w:w="784" w:type="dxa"/>
            <w:noWrap/>
            <w:hideMark/>
          </w:tcPr>
          <w:p w14:paraId="2911519B" w14:textId="77777777" w:rsidR="00112F64" w:rsidRPr="00112F64" w:rsidRDefault="00112F64" w:rsidP="002B358B">
            <w:pPr>
              <w:spacing w:line="360" w:lineRule="auto"/>
              <w:jc w:val="both"/>
              <w:rPr>
                <w:b/>
                <w:bCs/>
                <w:sz w:val="18"/>
                <w:szCs w:val="18"/>
              </w:rPr>
            </w:pPr>
            <w:r w:rsidRPr="00112F64">
              <w:rPr>
                <w:b/>
                <w:bCs/>
                <w:sz w:val="18"/>
                <w:szCs w:val="18"/>
              </w:rPr>
              <w:t>Total</w:t>
            </w:r>
          </w:p>
        </w:tc>
        <w:tc>
          <w:tcPr>
            <w:tcW w:w="1179" w:type="dxa"/>
            <w:noWrap/>
            <w:hideMark/>
          </w:tcPr>
          <w:p w14:paraId="1874832C" w14:textId="77777777" w:rsidR="00112F64" w:rsidRPr="00112F64" w:rsidRDefault="00112F64" w:rsidP="002B358B">
            <w:pPr>
              <w:spacing w:line="360" w:lineRule="auto"/>
              <w:jc w:val="both"/>
              <w:rPr>
                <w:b/>
                <w:bCs/>
                <w:sz w:val="18"/>
                <w:szCs w:val="18"/>
              </w:rPr>
            </w:pPr>
            <w:r w:rsidRPr="00112F64">
              <w:rPr>
                <w:b/>
                <w:bCs/>
                <w:sz w:val="18"/>
                <w:szCs w:val="18"/>
              </w:rPr>
              <w:t>1490</w:t>
            </w:r>
          </w:p>
        </w:tc>
        <w:tc>
          <w:tcPr>
            <w:tcW w:w="939" w:type="dxa"/>
            <w:noWrap/>
            <w:hideMark/>
          </w:tcPr>
          <w:p w14:paraId="48D8FCFC" w14:textId="77777777" w:rsidR="00112F64" w:rsidRPr="00112F64" w:rsidRDefault="00112F64" w:rsidP="002B358B">
            <w:pPr>
              <w:spacing w:line="360" w:lineRule="auto"/>
              <w:jc w:val="both"/>
              <w:rPr>
                <w:b/>
                <w:bCs/>
                <w:sz w:val="18"/>
                <w:szCs w:val="18"/>
              </w:rPr>
            </w:pPr>
            <w:r w:rsidRPr="00112F64">
              <w:rPr>
                <w:b/>
                <w:bCs/>
                <w:sz w:val="18"/>
                <w:szCs w:val="18"/>
              </w:rPr>
              <w:t>1283</w:t>
            </w:r>
          </w:p>
        </w:tc>
        <w:tc>
          <w:tcPr>
            <w:tcW w:w="1000" w:type="dxa"/>
            <w:noWrap/>
            <w:hideMark/>
          </w:tcPr>
          <w:p w14:paraId="476E2CC2" w14:textId="77777777" w:rsidR="00112F64" w:rsidRPr="00112F64" w:rsidRDefault="00112F64" w:rsidP="002B358B">
            <w:pPr>
              <w:spacing w:line="360" w:lineRule="auto"/>
              <w:jc w:val="both"/>
              <w:rPr>
                <w:b/>
                <w:bCs/>
                <w:sz w:val="18"/>
                <w:szCs w:val="18"/>
              </w:rPr>
            </w:pPr>
            <w:r w:rsidRPr="00112F64">
              <w:rPr>
                <w:b/>
                <w:bCs/>
                <w:sz w:val="18"/>
                <w:szCs w:val="18"/>
              </w:rPr>
              <w:t>280</w:t>
            </w:r>
          </w:p>
        </w:tc>
        <w:tc>
          <w:tcPr>
            <w:tcW w:w="784" w:type="dxa"/>
            <w:noWrap/>
            <w:hideMark/>
          </w:tcPr>
          <w:p w14:paraId="68B7E6D1" w14:textId="77777777" w:rsidR="00112F64" w:rsidRPr="00112F64" w:rsidRDefault="00112F64" w:rsidP="002B358B">
            <w:pPr>
              <w:spacing w:line="360" w:lineRule="auto"/>
              <w:jc w:val="both"/>
              <w:rPr>
                <w:b/>
                <w:bCs/>
                <w:sz w:val="18"/>
                <w:szCs w:val="18"/>
              </w:rPr>
            </w:pPr>
            <w:r w:rsidRPr="00112F64">
              <w:rPr>
                <w:b/>
                <w:bCs/>
                <w:sz w:val="18"/>
                <w:szCs w:val="18"/>
              </w:rPr>
              <w:t>1879</w:t>
            </w:r>
          </w:p>
        </w:tc>
        <w:tc>
          <w:tcPr>
            <w:tcW w:w="1121" w:type="dxa"/>
            <w:noWrap/>
            <w:hideMark/>
          </w:tcPr>
          <w:p w14:paraId="721EBFAE" w14:textId="77777777" w:rsidR="00112F64" w:rsidRPr="00112F64" w:rsidRDefault="00112F64" w:rsidP="002B358B">
            <w:pPr>
              <w:spacing w:line="360" w:lineRule="auto"/>
              <w:jc w:val="both"/>
              <w:rPr>
                <w:b/>
                <w:bCs/>
                <w:sz w:val="18"/>
                <w:szCs w:val="18"/>
              </w:rPr>
            </w:pPr>
            <w:r w:rsidRPr="00112F64">
              <w:rPr>
                <w:b/>
                <w:bCs/>
                <w:sz w:val="18"/>
                <w:szCs w:val="18"/>
              </w:rPr>
              <w:t>751</w:t>
            </w:r>
          </w:p>
        </w:tc>
        <w:tc>
          <w:tcPr>
            <w:tcW w:w="1350" w:type="dxa"/>
            <w:noWrap/>
            <w:hideMark/>
          </w:tcPr>
          <w:p w14:paraId="20AC7BA9" w14:textId="77777777" w:rsidR="00112F64" w:rsidRPr="00112F64" w:rsidRDefault="00112F64" w:rsidP="002B358B">
            <w:pPr>
              <w:spacing w:line="360" w:lineRule="auto"/>
              <w:jc w:val="both"/>
              <w:rPr>
                <w:b/>
                <w:bCs/>
                <w:sz w:val="18"/>
                <w:szCs w:val="18"/>
              </w:rPr>
            </w:pPr>
            <w:r w:rsidRPr="00112F64">
              <w:rPr>
                <w:b/>
                <w:bCs/>
                <w:sz w:val="18"/>
                <w:szCs w:val="18"/>
              </w:rPr>
              <w:t>105</w:t>
            </w:r>
          </w:p>
        </w:tc>
        <w:tc>
          <w:tcPr>
            <w:tcW w:w="1287" w:type="dxa"/>
            <w:noWrap/>
            <w:hideMark/>
          </w:tcPr>
          <w:p w14:paraId="1410C934" w14:textId="77777777" w:rsidR="00112F64" w:rsidRPr="00112F64" w:rsidRDefault="00112F64" w:rsidP="002B358B">
            <w:pPr>
              <w:spacing w:line="360" w:lineRule="auto"/>
              <w:jc w:val="both"/>
              <w:rPr>
                <w:b/>
                <w:bCs/>
                <w:sz w:val="18"/>
                <w:szCs w:val="18"/>
              </w:rPr>
            </w:pPr>
            <w:r w:rsidRPr="00112F64">
              <w:rPr>
                <w:b/>
                <w:bCs/>
                <w:sz w:val="18"/>
                <w:szCs w:val="18"/>
              </w:rPr>
              <w:t>25</w:t>
            </w:r>
          </w:p>
        </w:tc>
        <w:tc>
          <w:tcPr>
            <w:tcW w:w="906" w:type="dxa"/>
            <w:noWrap/>
            <w:hideMark/>
          </w:tcPr>
          <w:p w14:paraId="63039C51" w14:textId="77777777" w:rsidR="00112F64" w:rsidRPr="00112F64" w:rsidRDefault="00112F64" w:rsidP="002B358B">
            <w:pPr>
              <w:spacing w:line="360" w:lineRule="auto"/>
              <w:jc w:val="both"/>
              <w:rPr>
                <w:b/>
                <w:bCs/>
                <w:sz w:val="18"/>
                <w:szCs w:val="18"/>
              </w:rPr>
            </w:pPr>
            <w:r w:rsidRPr="00112F64">
              <w:rPr>
                <w:b/>
                <w:bCs/>
                <w:sz w:val="18"/>
                <w:szCs w:val="18"/>
              </w:rPr>
              <w:t>5772</w:t>
            </w:r>
          </w:p>
        </w:tc>
      </w:tr>
    </w:tbl>
    <w:p w14:paraId="764CD544" w14:textId="77777777" w:rsidR="00112F64" w:rsidRPr="00112F64" w:rsidRDefault="00112F64" w:rsidP="002B358B">
      <w:pPr>
        <w:spacing w:line="360" w:lineRule="auto"/>
        <w:jc w:val="both"/>
      </w:pPr>
    </w:p>
    <w:p w14:paraId="710182D1" w14:textId="77777777" w:rsidR="00112F64" w:rsidRPr="00112F64" w:rsidRDefault="00112F64" w:rsidP="002B358B">
      <w:pPr>
        <w:spacing w:line="360" w:lineRule="auto"/>
        <w:jc w:val="center"/>
      </w:pPr>
      <w:r w:rsidRPr="00112F64">
        <w:rPr>
          <w:noProof/>
        </w:rPr>
        <w:lastRenderedPageBreak/>
        <w:drawing>
          <wp:inline distT="0" distB="0" distL="0" distR="0" wp14:anchorId="0980E6A8" wp14:editId="7E360A7F">
            <wp:extent cx="4572000" cy="2743200"/>
            <wp:effectExtent l="0" t="0" r="0" b="0"/>
            <wp:docPr id="1061324426" name="Chart 1">
              <a:extLst xmlns:a="http://schemas.openxmlformats.org/drawingml/2006/main">
                <a:ext uri="{FF2B5EF4-FFF2-40B4-BE49-F238E27FC236}">
                  <a16:creationId xmlns:a16="http://schemas.microsoft.com/office/drawing/2014/main" id="{ABDD83E9-CD89-F4DE-56B7-A5A6BE461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04799E" w14:textId="13C49346" w:rsidR="00112F64" w:rsidRPr="00112F64" w:rsidRDefault="00572E44" w:rsidP="002B358B">
      <w:pPr>
        <w:spacing w:line="360" w:lineRule="auto"/>
        <w:jc w:val="both"/>
        <w:rPr>
          <w:b/>
          <w:bCs/>
        </w:rPr>
      </w:pPr>
      <w:r>
        <w:rPr>
          <w:b/>
          <w:bCs/>
        </w:rPr>
        <w:t xml:space="preserve">Figure 4.1 </w:t>
      </w:r>
      <w:r w:rsidR="00112F64" w:rsidRPr="00112F64">
        <w:rPr>
          <w:b/>
          <w:bCs/>
        </w:rPr>
        <w:t>7 categories of fire incidents</w:t>
      </w:r>
    </w:p>
    <w:p w14:paraId="60BA9F9A" w14:textId="78384B10" w:rsidR="00112F64" w:rsidRPr="00112F64" w:rsidRDefault="00112F64" w:rsidP="002B358B">
      <w:pPr>
        <w:spacing w:line="360" w:lineRule="auto"/>
        <w:jc w:val="both"/>
      </w:pPr>
      <w:r w:rsidRPr="00112F64">
        <w:t xml:space="preserve">From the </w:t>
      </w:r>
      <w:r w:rsidR="00211B73">
        <w:t>results Figure 4.17</w:t>
      </w:r>
      <w:r w:rsidRPr="00112F64">
        <w:t xml:space="preserve"> above from the Harare Fire Brigade an analysis across the decade, grass fires emerge as the most frequent fire incidents by a wide margin, totaling 1,879 calls. This category consistently accounts for a large share of urban fire activity, with notable surges in 2023 (224) and 2024 (241). The persistence and seasonality of grass fires point to underlying environmental and management factors: dry conditions, heat stress, inadequate vegetation maintenance in the urban interface, and potential human ignition sources such as land clearance for urban agriculture. The data thus signal that the urban-fire hazard landscape is heavily shaped by vegetation management and climate-influenced risk, making prevention efforts in outdoor spaces a high-leverage area.</w:t>
      </w:r>
    </w:p>
    <w:p w14:paraId="7289C4CA" w14:textId="77777777" w:rsidR="00112F64" w:rsidRPr="00112F64" w:rsidRDefault="00112F64" w:rsidP="002B358B">
      <w:pPr>
        <w:spacing w:line="360" w:lineRule="auto"/>
        <w:jc w:val="both"/>
      </w:pPr>
      <w:r w:rsidRPr="00112F64">
        <w:t xml:space="preserve">Domestic and commercial fires constitute the next largest categories, with domestic fires totaling 1,283 and commercial fires 1,490 over the ten-year horizon. Collectively, these two categories dominate the urban fire burden and likely reflect the everyday risk environment faced by residents and businesses. Domestic fires driven by cooking incidents, electrical faults, heating equipment, and unattended or improperly used appliances carry substantial human risk given occupancy patterns and time spent at home. Commercial fires, while geographically diverse in origin, often stem from electrical faults, heating or processing equipment, and the presence and storage of flammable materials within the enterprises. The sustained presence of these categories through most years indicates a persistent demand for targeted safety interventions at the household and </w:t>
      </w:r>
      <w:r w:rsidRPr="00112F64">
        <w:lastRenderedPageBreak/>
        <w:t>business levels, including compliance with fire bylaws, maintenance of electrical infrastructure, and public education on safe practices.</w:t>
      </w:r>
    </w:p>
    <w:p w14:paraId="2A4F5E2A" w14:textId="77777777" w:rsidR="00112F64" w:rsidRPr="00112F64" w:rsidRDefault="00112F64" w:rsidP="002B358B">
      <w:pPr>
        <w:spacing w:line="360" w:lineRule="auto"/>
        <w:jc w:val="both"/>
      </w:pPr>
      <w:r w:rsidRPr="00112F64">
        <w:t>Rubbish fires, totaling 751, present a non-trivial but more variable contribution to the urban fire burden. The data show a curious dip in 2021 (0 incidents) alongside otherwise recurring activity, suggesting possible reporting gaps or interventions during that year. Nevertheless, rubbish fires remain an important channel for urban hazards because they can contribute to air pollution and, depending on the materials burned, escalations to structural fires. The relatively moderate but steady presence of rubbish fires underscores the need for waste management practices that minimize fire ignition risk, as well as public awareness about safe waste disposal and burning practices.</w:t>
      </w:r>
    </w:p>
    <w:p w14:paraId="41DC3093" w14:textId="77777777" w:rsidR="00112F64" w:rsidRPr="00112F64" w:rsidRDefault="00112F64" w:rsidP="002B358B">
      <w:pPr>
        <w:spacing w:line="360" w:lineRule="auto"/>
        <w:jc w:val="both"/>
        <w:rPr>
          <w:b/>
          <w:bCs/>
        </w:rPr>
      </w:pPr>
      <w:r w:rsidRPr="00112F64">
        <w:t>Industrial and home-industries fires, while smaller in total, highlight occupational and facility-level risk. With 143 industrial and 105 home-industries fires across the decade, these categories remind us that fire safety cannot be limited to the residential sphere; workplaces and production environments require robust fire protection ranging from electrical safety and equipment maintenance to proper storage of flammable materials and clear emergency procedures. Market fires, though small in absolute terms (24 total), reinforce the reality that commercial-facing venues can be sources of ignition and exposure in densely populated areas.</w:t>
      </w:r>
    </w:p>
    <w:p w14:paraId="37403D89" w14:textId="77777777" w:rsidR="00112F64" w:rsidRPr="00112F64" w:rsidRDefault="00112F64" w:rsidP="00394501">
      <w:pPr>
        <w:pStyle w:val="Heading2"/>
      </w:pPr>
    </w:p>
    <w:p w14:paraId="36858B35" w14:textId="77777777" w:rsidR="00112F64" w:rsidRPr="00112F64" w:rsidRDefault="00112F64" w:rsidP="00394501">
      <w:pPr>
        <w:pStyle w:val="Heading2"/>
      </w:pPr>
      <w:bookmarkStart w:id="86" w:name="_Toc215652917"/>
      <w:r w:rsidRPr="00112F64">
        <w:t xml:space="preserve">4.3 </w:t>
      </w:r>
      <w:bookmarkStart w:id="87" w:name="_Hlk215321902"/>
      <w:r w:rsidRPr="00112F64">
        <w:t>Descriptive Statistics by Fire-incident Category</w:t>
      </w:r>
      <w:bookmarkEnd w:id="86"/>
      <w:bookmarkEnd w:id="87"/>
    </w:p>
    <w:p w14:paraId="3C3A534F" w14:textId="4883B99A" w:rsidR="00112F64" w:rsidRPr="002B358B" w:rsidRDefault="00112F64" w:rsidP="002B358B">
      <w:pPr>
        <w:spacing w:line="360" w:lineRule="auto"/>
        <w:jc w:val="both"/>
        <w:rPr>
          <w:b/>
          <w:bCs/>
        </w:rPr>
      </w:pPr>
      <w:r w:rsidRPr="002B358B">
        <w:rPr>
          <w:b/>
          <w:bCs/>
        </w:rPr>
        <w:t>Table 4.2</w:t>
      </w:r>
      <w:r w:rsidR="00572E44" w:rsidRPr="002B358B">
        <w:rPr>
          <w:b/>
          <w:bCs/>
        </w:rPr>
        <w:t xml:space="preserve"> Descriptive Statistics</w:t>
      </w:r>
    </w:p>
    <w:tbl>
      <w:tblPr>
        <w:tblStyle w:val="TableGrid"/>
        <w:tblW w:w="8808" w:type="dxa"/>
        <w:tblLayout w:type="fixed"/>
        <w:tblLook w:val="0000" w:firstRow="0" w:lastRow="0" w:firstColumn="0" w:lastColumn="0" w:noHBand="0" w:noVBand="0"/>
      </w:tblPr>
      <w:tblGrid>
        <w:gridCol w:w="1707"/>
        <w:gridCol w:w="1029"/>
        <w:gridCol w:w="1076"/>
        <w:gridCol w:w="1107"/>
        <w:gridCol w:w="1029"/>
        <w:gridCol w:w="1445"/>
        <w:gridCol w:w="1415"/>
      </w:tblGrid>
      <w:tr w:rsidR="00112F64" w:rsidRPr="00112F64" w14:paraId="64095244" w14:textId="77777777" w:rsidTr="002B358B">
        <w:tc>
          <w:tcPr>
            <w:tcW w:w="8804" w:type="dxa"/>
            <w:gridSpan w:val="7"/>
          </w:tcPr>
          <w:p w14:paraId="249ADC7C" w14:textId="6FCFFAE2" w:rsidR="00112F64" w:rsidRPr="00112F64" w:rsidRDefault="00112F64" w:rsidP="002B358B">
            <w:pPr>
              <w:spacing w:line="360" w:lineRule="auto"/>
              <w:jc w:val="both"/>
            </w:pPr>
          </w:p>
        </w:tc>
      </w:tr>
      <w:tr w:rsidR="00112F64" w:rsidRPr="00112F64" w14:paraId="676D11CD" w14:textId="77777777" w:rsidTr="002B358B">
        <w:tc>
          <w:tcPr>
            <w:tcW w:w="1706" w:type="dxa"/>
          </w:tcPr>
          <w:p w14:paraId="54A5F702" w14:textId="77777777" w:rsidR="00112F64" w:rsidRPr="00112F64" w:rsidRDefault="00112F64" w:rsidP="002B358B">
            <w:pPr>
              <w:spacing w:line="360" w:lineRule="auto"/>
              <w:jc w:val="both"/>
            </w:pPr>
          </w:p>
        </w:tc>
        <w:tc>
          <w:tcPr>
            <w:tcW w:w="1029" w:type="dxa"/>
          </w:tcPr>
          <w:p w14:paraId="7E01EEAD" w14:textId="77777777" w:rsidR="00112F64" w:rsidRPr="00112F64" w:rsidRDefault="00112F64" w:rsidP="002B358B">
            <w:pPr>
              <w:spacing w:line="360" w:lineRule="auto"/>
              <w:jc w:val="both"/>
            </w:pPr>
            <w:r w:rsidRPr="00112F64">
              <w:t>N</w:t>
            </w:r>
          </w:p>
        </w:tc>
        <w:tc>
          <w:tcPr>
            <w:tcW w:w="1076" w:type="dxa"/>
          </w:tcPr>
          <w:p w14:paraId="2B2E52B8" w14:textId="77777777" w:rsidR="00112F64" w:rsidRPr="00112F64" w:rsidRDefault="00112F64" w:rsidP="002B358B">
            <w:pPr>
              <w:spacing w:line="360" w:lineRule="auto"/>
              <w:jc w:val="both"/>
            </w:pPr>
            <w:r w:rsidRPr="00112F64">
              <w:t>Minimum</w:t>
            </w:r>
          </w:p>
        </w:tc>
        <w:tc>
          <w:tcPr>
            <w:tcW w:w="1106" w:type="dxa"/>
          </w:tcPr>
          <w:p w14:paraId="2B2817AA" w14:textId="77777777" w:rsidR="00112F64" w:rsidRPr="00112F64" w:rsidRDefault="00112F64" w:rsidP="002B358B">
            <w:pPr>
              <w:spacing w:line="360" w:lineRule="auto"/>
              <w:jc w:val="both"/>
            </w:pPr>
            <w:r w:rsidRPr="00112F64">
              <w:t>Maximum</w:t>
            </w:r>
          </w:p>
        </w:tc>
        <w:tc>
          <w:tcPr>
            <w:tcW w:w="1029" w:type="dxa"/>
          </w:tcPr>
          <w:p w14:paraId="3C209ECA" w14:textId="77777777" w:rsidR="00112F64" w:rsidRPr="00112F64" w:rsidRDefault="00112F64" w:rsidP="002B358B">
            <w:pPr>
              <w:spacing w:line="360" w:lineRule="auto"/>
              <w:jc w:val="both"/>
            </w:pPr>
            <w:r w:rsidRPr="00112F64">
              <w:t>Mean</w:t>
            </w:r>
          </w:p>
        </w:tc>
        <w:tc>
          <w:tcPr>
            <w:tcW w:w="1444" w:type="dxa"/>
          </w:tcPr>
          <w:p w14:paraId="4A78708B" w14:textId="77777777" w:rsidR="00112F64" w:rsidRPr="00112F64" w:rsidRDefault="00112F64" w:rsidP="002B358B">
            <w:pPr>
              <w:spacing w:line="360" w:lineRule="auto"/>
              <w:jc w:val="both"/>
            </w:pPr>
            <w:r w:rsidRPr="00112F64">
              <w:t>Std. Deviation</w:t>
            </w:r>
          </w:p>
        </w:tc>
        <w:tc>
          <w:tcPr>
            <w:tcW w:w="1414" w:type="dxa"/>
          </w:tcPr>
          <w:p w14:paraId="09825114" w14:textId="77777777" w:rsidR="00112F64" w:rsidRPr="00112F64" w:rsidRDefault="00112F64" w:rsidP="002B358B">
            <w:pPr>
              <w:spacing w:line="360" w:lineRule="auto"/>
              <w:jc w:val="both"/>
            </w:pPr>
            <w:r w:rsidRPr="00112F64">
              <w:t>Variance</w:t>
            </w:r>
          </w:p>
        </w:tc>
      </w:tr>
      <w:tr w:rsidR="00112F64" w:rsidRPr="00112F64" w14:paraId="6405F464" w14:textId="77777777" w:rsidTr="002B358B">
        <w:tc>
          <w:tcPr>
            <w:tcW w:w="1706" w:type="dxa"/>
          </w:tcPr>
          <w:p w14:paraId="5E50E5C0" w14:textId="77777777" w:rsidR="00112F64" w:rsidRPr="00112F64" w:rsidRDefault="00112F64" w:rsidP="002B358B">
            <w:pPr>
              <w:spacing w:line="360" w:lineRule="auto"/>
              <w:jc w:val="both"/>
            </w:pPr>
            <w:r w:rsidRPr="00112F64">
              <w:t>Commercial</w:t>
            </w:r>
          </w:p>
        </w:tc>
        <w:tc>
          <w:tcPr>
            <w:tcW w:w="1029" w:type="dxa"/>
          </w:tcPr>
          <w:p w14:paraId="608ACF63" w14:textId="77777777" w:rsidR="00112F64" w:rsidRPr="00112F64" w:rsidRDefault="00112F64" w:rsidP="002B358B">
            <w:pPr>
              <w:spacing w:line="360" w:lineRule="auto"/>
              <w:jc w:val="both"/>
            </w:pPr>
            <w:r w:rsidRPr="00112F64">
              <w:t>11</w:t>
            </w:r>
          </w:p>
        </w:tc>
        <w:tc>
          <w:tcPr>
            <w:tcW w:w="1076" w:type="dxa"/>
          </w:tcPr>
          <w:p w14:paraId="48430499" w14:textId="77777777" w:rsidR="00112F64" w:rsidRPr="00112F64" w:rsidRDefault="00112F64" w:rsidP="002B358B">
            <w:pPr>
              <w:spacing w:line="360" w:lineRule="auto"/>
              <w:jc w:val="both"/>
            </w:pPr>
            <w:r w:rsidRPr="00112F64">
              <w:t>107</w:t>
            </w:r>
          </w:p>
        </w:tc>
        <w:tc>
          <w:tcPr>
            <w:tcW w:w="1106" w:type="dxa"/>
          </w:tcPr>
          <w:p w14:paraId="4E14302E" w14:textId="77777777" w:rsidR="00112F64" w:rsidRPr="00112F64" w:rsidRDefault="00112F64" w:rsidP="002B358B">
            <w:pPr>
              <w:spacing w:line="360" w:lineRule="auto"/>
              <w:jc w:val="both"/>
            </w:pPr>
            <w:r w:rsidRPr="00112F64">
              <w:t>1490</w:t>
            </w:r>
          </w:p>
        </w:tc>
        <w:tc>
          <w:tcPr>
            <w:tcW w:w="1029" w:type="dxa"/>
          </w:tcPr>
          <w:p w14:paraId="7789434D" w14:textId="77777777" w:rsidR="00112F64" w:rsidRPr="00112F64" w:rsidRDefault="00112F64" w:rsidP="002B358B">
            <w:pPr>
              <w:spacing w:line="360" w:lineRule="auto"/>
              <w:jc w:val="both"/>
            </w:pPr>
            <w:r w:rsidRPr="00112F64">
              <w:t>270.91</w:t>
            </w:r>
          </w:p>
        </w:tc>
        <w:tc>
          <w:tcPr>
            <w:tcW w:w="1444" w:type="dxa"/>
          </w:tcPr>
          <w:p w14:paraId="67E7E512" w14:textId="77777777" w:rsidR="00112F64" w:rsidRPr="00112F64" w:rsidRDefault="00112F64" w:rsidP="002B358B">
            <w:pPr>
              <w:spacing w:line="360" w:lineRule="auto"/>
              <w:jc w:val="both"/>
            </w:pPr>
            <w:r w:rsidRPr="00112F64">
              <w:t>404.822</w:t>
            </w:r>
          </w:p>
        </w:tc>
        <w:tc>
          <w:tcPr>
            <w:tcW w:w="1414" w:type="dxa"/>
          </w:tcPr>
          <w:p w14:paraId="464BC65F" w14:textId="77777777" w:rsidR="00112F64" w:rsidRPr="00112F64" w:rsidRDefault="00112F64" w:rsidP="002B358B">
            <w:pPr>
              <w:spacing w:line="360" w:lineRule="auto"/>
              <w:jc w:val="both"/>
            </w:pPr>
            <w:r w:rsidRPr="00112F64">
              <w:t>163880.491</w:t>
            </w:r>
          </w:p>
        </w:tc>
      </w:tr>
      <w:tr w:rsidR="00112F64" w:rsidRPr="00112F64" w14:paraId="0D7E3E17" w14:textId="77777777" w:rsidTr="002B358B">
        <w:tc>
          <w:tcPr>
            <w:tcW w:w="1706" w:type="dxa"/>
          </w:tcPr>
          <w:p w14:paraId="537D7DEA" w14:textId="77777777" w:rsidR="00112F64" w:rsidRPr="00112F64" w:rsidRDefault="00112F64" w:rsidP="002B358B">
            <w:pPr>
              <w:spacing w:line="360" w:lineRule="auto"/>
              <w:jc w:val="both"/>
            </w:pPr>
            <w:r w:rsidRPr="00112F64">
              <w:t>Domestic</w:t>
            </w:r>
          </w:p>
        </w:tc>
        <w:tc>
          <w:tcPr>
            <w:tcW w:w="1029" w:type="dxa"/>
          </w:tcPr>
          <w:p w14:paraId="10544ED4" w14:textId="77777777" w:rsidR="00112F64" w:rsidRPr="00112F64" w:rsidRDefault="00112F64" w:rsidP="002B358B">
            <w:pPr>
              <w:spacing w:line="360" w:lineRule="auto"/>
              <w:jc w:val="both"/>
            </w:pPr>
            <w:r w:rsidRPr="00112F64">
              <w:t>11</w:t>
            </w:r>
          </w:p>
        </w:tc>
        <w:tc>
          <w:tcPr>
            <w:tcW w:w="1076" w:type="dxa"/>
          </w:tcPr>
          <w:p w14:paraId="0D60E62C" w14:textId="77777777" w:rsidR="00112F64" w:rsidRPr="00112F64" w:rsidRDefault="00112F64" w:rsidP="002B358B">
            <w:pPr>
              <w:spacing w:line="360" w:lineRule="auto"/>
              <w:jc w:val="both"/>
            </w:pPr>
            <w:r w:rsidRPr="00112F64">
              <w:t>100</w:t>
            </w:r>
          </w:p>
        </w:tc>
        <w:tc>
          <w:tcPr>
            <w:tcW w:w="1106" w:type="dxa"/>
          </w:tcPr>
          <w:p w14:paraId="596AE094" w14:textId="77777777" w:rsidR="00112F64" w:rsidRPr="00112F64" w:rsidRDefault="00112F64" w:rsidP="002B358B">
            <w:pPr>
              <w:spacing w:line="360" w:lineRule="auto"/>
              <w:jc w:val="both"/>
            </w:pPr>
            <w:r w:rsidRPr="00112F64">
              <w:t>1283</w:t>
            </w:r>
          </w:p>
        </w:tc>
        <w:tc>
          <w:tcPr>
            <w:tcW w:w="1029" w:type="dxa"/>
          </w:tcPr>
          <w:p w14:paraId="74366940" w14:textId="77777777" w:rsidR="00112F64" w:rsidRPr="00112F64" w:rsidRDefault="00112F64" w:rsidP="002B358B">
            <w:pPr>
              <w:spacing w:line="360" w:lineRule="auto"/>
              <w:jc w:val="both"/>
            </w:pPr>
            <w:r w:rsidRPr="00112F64">
              <w:t>233.27</w:t>
            </w:r>
          </w:p>
        </w:tc>
        <w:tc>
          <w:tcPr>
            <w:tcW w:w="1444" w:type="dxa"/>
          </w:tcPr>
          <w:p w14:paraId="6670B422" w14:textId="77777777" w:rsidR="00112F64" w:rsidRPr="00112F64" w:rsidRDefault="00112F64" w:rsidP="002B358B">
            <w:pPr>
              <w:spacing w:line="360" w:lineRule="auto"/>
              <w:jc w:val="both"/>
            </w:pPr>
            <w:r w:rsidRPr="00112F64">
              <w:t>348.645</w:t>
            </w:r>
          </w:p>
        </w:tc>
        <w:tc>
          <w:tcPr>
            <w:tcW w:w="1414" w:type="dxa"/>
          </w:tcPr>
          <w:p w14:paraId="0CBB6E2C" w14:textId="77777777" w:rsidR="00112F64" w:rsidRPr="00112F64" w:rsidRDefault="00112F64" w:rsidP="002B358B">
            <w:pPr>
              <w:spacing w:line="360" w:lineRule="auto"/>
              <w:jc w:val="both"/>
            </w:pPr>
            <w:r w:rsidRPr="00112F64">
              <w:t>121553.018</w:t>
            </w:r>
          </w:p>
        </w:tc>
      </w:tr>
      <w:tr w:rsidR="00112F64" w:rsidRPr="00112F64" w14:paraId="355F1ACF" w14:textId="77777777" w:rsidTr="002B358B">
        <w:tc>
          <w:tcPr>
            <w:tcW w:w="1706" w:type="dxa"/>
          </w:tcPr>
          <w:p w14:paraId="3F20C35C" w14:textId="77777777" w:rsidR="00112F64" w:rsidRPr="00112F64" w:rsidRDefault="00112F64" w:rsidP="002B358B">
            <w:pPr>
              <w:spacing w:line="360" w:lineRule="auto"/>
              <w:jc w:val="both"/>
            </w:pPr>
            <w:r w:rsidRPr="00112F64">
              <w:t>Industrial</w:t>
            </w:r>
          </w:p>
        </w:tc>
        <w:tc>
          <w:tcPr>
            <w:tcW w:w="1029" w:type="dxa"/>
          </w:tcPr>
          <w:p w14:paraId="66F37371" w14:textId="77777777" w:rsidR="00112F64" w:rsidRPr="00112F64" w:rsidRDefault="00112F64" w:rsidP="002B358B">
            <w:pPr>
              <w:spacing w:line="360" w:lineRule="auto"/>
              <w:jc w:val="both"/>
            </w:pPr>
            <w:r w:rsidRPr="00112F64">
              <w:t>11</w:t>
            </w:r>
          </w:p>
        </w:tc>
        <w:tc>
          <w:tcPr>
            <w:tcW w:w="1076" w:type="dxa"/>
          </w:tcPr>
          <w:p w14:paraId="24A099C8" w14:textId="77777777" w:rsidR="00112F64" w:rsidRPr="00112F64" w:rsidRDefault="00112F64" w:rsidP="002B358B">
            <w:pPr>
              <w:spacing w:line="360" w:lineRule="auto"/>
              <w:jc w:val="both"/>
            </w:pPr>
            <w:r w:rsidRPr="00112F64">
              <w:t>10</w:t>
            </w:r>
          </w:p>
        </w:tc>
        <w:tc>
          <w:tcPr>
            <w:tcW w:w="1106" w:type="dxa"/>
          </w:tcPr>
          <w:p w14:paraId="40385E6E" w14:textId="77777777" w:rsidR="00112F64" w:rsidRPr="00112F64" w:rsidRDefault="00112F64" w:rsidP="002B358B">
            <w:pPr>
              <w:spacing w:line="360" w:lineRule="auto"/>
              <w:jc w:val="both"/>
            </w:pPr>
            <w:r w:rsidRPr="00112F64">
              <w:t>280</w:t>
            </w:r>
          </w:p>
        </w:tc>
        <w:tc>
          <w:tcPr>
            <w:tcW w:w="1029" w:type="dxa"/>
          </w:tcPr>
          <w:p w14:paraId="4D8B7475" w14:textId="77777777" w:rsidR="00112F64" w:rsidRPr="00112F64" w:rsidRDefault="00112F64" w:rsidP="002B358B">
            <w:pPr>
              <w:spacing w:line="360" w:lineRule="auto"/>
              <w:jc w:val="both"/>
            </w:pPr>
            <w:r w:rsidRPr="00112F64">
              <w:t>50.91</w:t>
            </w:r>
          </w:p>
        </w:tc>
        <w:tc>
          <w:tcPr>
            <w:tcW w:w="1444" w:type="dxa"/>
          </w:tcPr>
          <w:p w14:paraId="79FF85D1" w14:textId="77777777" w:rsidR="00112F64" w:rsidRPr="00112F64" w:rsidRDefault="00112F64" w:rsidP="002B358B">
            <w:pPr>
              <w:spacing w:line="360" w:lineRule="auto"/>
              <w:jc w:val="both"/>
            </w:pPr>
            <w:r w:rsidRPr="00112F64">
              <w:t>86.519</w:t>
            </w:r>
          </w:p>
        </w:tc>
        <w:tc>
          <w:tcPr>
            <w:tcW w:w="1414" w:type="dxa"/>
          </w:tcPr>
          <w:p w14:paraId="5ABD908B" w14:textId="77777777" w:rsidR="00112F64" w:rsidRPr="00112F64" w:rsidRDefault="00112F64" w:rsidP="002B358B">
            <w:pPr>
              <w:spacing w:line="360" w:lineRule="auto"/>
              <w:jc w:val="both"/>
            </w:pPr>
            <w:r w:rsidRPr="00112F64">
              <w:t>7485.491</w:t>
            </w:r>
          </w:p>
        </w:tc>
      </w:tr>
      <w:tr w:rsidR="00112F64" w:rsidRPr="00112F64" w14:paraId="252C63B0" w14:textId="77777777" w:rsidTr="002B358B">
        <w:tc>
          <w:tcPr>
            <w:tcW w:w="1706" w:type="dxa"/>
          </w:tcPr>
          <w:p w14:paraId="1C9449C6" w14:textId="77777777" w:rsidR="00112F64" w:rsidRPr="00112F64" w:rsidRDefault="00112F64" w:rsidP="002B358B">
            <w:pPr>
              <w:spacing w:line="360" w:lineRule="auto"/>
              <w:jc w:val="both"/>
            </w:pPr>
            <w:r w:rsidRPr="00112F64">
              <w:t>Grass</w:t>
            </w:r>
          </w:p>
        </w:tc>
        <w:tc>
          <w:tcPr>
            <w:tcW w:w="1029" w:type="dxa"/>
          </w:tcPr>
          <w:p w14:paraId="7FDEEAD8" w14:textId="77777777" w:rsidR="00112F64" w:rsidRPr="00112F64" w:rsidRDefault="00112F64" w:rsidP="002B358B">
            <w:pPr>
              <w:spacing w:line="360" w:lineRule="auto"/>
              <w:jc w:val="both"/>
            </w:pPr>
            <w:r w:rsidRPr="00112F64">
              <w:t>11</w:t>
            </w:r>
          </w:p>
        </w:tc>
        <w:tc>
          <w:tcPr>
            <w:tcW w:w="1076" w:type="dxa"/>
          </w:tcPr>
          <w:p w14:paraId="25E47055" w14:textId="77777777" w:rsidR="00112F64" w:rsidRPr="00112F64" w:rsidRDefault="00112F64" w:rsidP="002B358B">
            <w:pPr>
              <w:spacing w:line="360" w:lineRule="auto"/>
              <w:jc w:val="both"/>
            </w:pPr>
            <w:r w:rsidRPr="00112F64">
              <w:t>153</w:t>
            </w:r>
          </w:p>
        </w:tc>
        <w:tc>
          <w:tcPr>
            <w:tcW w:w="1106" w:type="dxa"/>
          </w:tcPr>
          <w:p w14:paraId="47B63D21" w14:textId="77777777" w:rsidR="00112F64" w:rsidRPr="00112F64" w:rsidRDefault="00112F64" w:rsidP="002B358B">
            <w:pPr>
              <w:spacing w:line="360" w:lineRule="auto"/>
              <w:jc w:val="both"/>
            </w:pPr>
            <w:r w:rsidRPr="00112F64">
              <w:t>1879</w:t>
            </w:r>
          </w:p>
        </w:tc>
        <w:tc>
          <w:tcPr>
            <w:tcW w:w="1029" w:type="dxa"/>
          </w:tcPr>
          <w:p w14:paraId="3553E312" w14:textId="77777777" w:rsidR="00112F64" w:rsidRPr="00112F64" w:rsidRDefault="00112F64" w:rsidP="002B358B">
            <w:pPr>
              <w:spacing w:line="360" w:lineRule="auto"/>
              <w:jc w:val="both"/>
            </w:pPr>
            <w:r w:rsidRPr="00112F64">
              <w:t>341.64</w:t>
            </w:r>
          </w:p>
        </w:tc>
        <w:tc>
          <w:tcPr>
            <w:tcW w:w="1444" w:type="dxa"/>
          </w:tcPr>
          <w:p w14:paraId="6E3AF956" w14:textId="77777777" w:rsidR="00112F64" w:rsidRPr="00112F64" w:rsidRDefault="00112F64" w:rsidP="002B358B">
            <w:pPr>
              <w:spacing w:line="360" w:lineRule="auto"/>
              <w:jc w:val="both"/>
            </w:pPr>
            <w:r w:rsidRPr="00112F64">
              <w:t>510.528</w:t>
            </w:r>
          </w:p>
        </w:tc>
        <w:tc>
          <w:tcPr>
            <w:tcW w:w="1414" w:type="dxa"/>
          </w:tcPr>
          <w:p w14:paraId="677C433D" w14:textId="77777777" w:rsidR="00112F64" w:rsidRPr="00112F64" w:rsidRDefault="00112F64" w:rsidP="002B358B">
            <w:pPr>
              <w:spacing w:line="360" w:lineRule="auto"/>
              <w:jc w:val="both"/>
            </w:pPr>
            <w:r w:rsidRPr="00112F64">
              <w:t>260639.255</w:t>
            </w:r>
          </w:p>
        </w:tc>
      </w:tr>
      <w:tr w:rsidR="00112F64" w:rsidRPr="00112F64" w14:paraId="6E364615" w14:textId="77777777" w:rsidTr="002B358B">
        <w:tc>
          <w:tcPr>
            <w:tcW w:w="1706" w:type="dxa"/>
          </w:tcPr>
          <w:p w14:paraId="32F91953" w14:textId="77777777" w:rsidR="00112F64" w:rsidRPr="00112F64" w:rsidRDefault="00112F64" w:rsidP="002B358B">
            <w:pPr>
              <w:spacing w:line="360" w:lineRule="auto"/>
              <w:jc w:val="both"/>
            </w:pPr>
            <w:r w:rsidRPr="00112F64">
              <w:t>Rubbish</w:t>
            </w:r>
          </w:p>
        </w:tc>
        <w:tc>
          <w:tcPr>
            <w:tcW w:w="1029" w:type="dxa"/>
          </w:tcPr>
          <w:p w14:paraId="194D5C72" w14:textId="77777777" w:rsidR="00112F64" w:rsidRPr="00112F64" w:rsidRDefault="00112F64" w:rsidP="002B358B">
            <w:pPr>
              <w:spacing w:line="360" w:lineRule="auto"/>
              <w:jc w:val="both"/>
            </w:pPr>
            <w:r w:rsidRPr="00112F64">
              <w:t>11</w:t>
            </w:r>
          </w:p>
        </w:tc>
        <w:tc>
          <w:tcPr>
            <w:tcW w:w="1076" w:type="dxa"/>
          </w:tcPr>
          <w:p w14:paraId="47E04C58" w14:textId="77777777" w:rsidR="00112F64" w:rsidRPr="00112F64" w:rsidRDefault="00112F64" w:rsidP="002B358B">
            <w:pPr>
              <w:spacing w:line="360" w:lineRule="auto"/>
              <w:jc w:val="both"/>
            </w:pPr>
            <w:r w:rsidRPr="00112F64">
              <w:t>0</w:t>
            </w:r>
          </w:p>
        </w:tc>
        <w:tc>
          <w:tcPr>
            <w:tcW w:w="1106" w:type="dxa"/>
          </w:tcPr>
          <w:p w14:paraId="02DD9806" w14:textId="77777777" w:rsidR="00112F64" w:rsidRPr="00112F64" w:rsidRDefault="00112F64" w:rsidP="002B358B">
            <w:pPr>
              <w:spacing w:line="360" w:lineRule="auto"/>
              <w:jc w:val="both"/>
            </w:pPr>
            <w:r w:rsidRPr="00112F64">
              <w:t>751</w:t>
            </w:r>
          </w:p>
        </w:tc>
        <w:tc>
          <w:tcPr>
            <w:tcW w:w="1029" w:type="dxa"/>
          </w:tcPr>
          <w:p w14:paraId="0A1DDFAC" w14:textId="77777777" w:rsidR="00112F64" w:rsidRPr="00112F64" w:rsidRDefault="00112F64" w:rsidP="002B358B">
            <w:pPr>
              <w:spacing w:line="360" w:lineRule="auto"/>
              <w:jc w:val="both"/>
            </w:pPr>
            <w:r w:rsidRPr="00112F64">
              <w:t>136.55</w:t>
            </w:r>
          </w:p>
        </w:tc>
        <w:tc>
          <w:tcPr>
            <w:tcW w:w="1444" w:type="dxa"/>
          </w:tcPr>
          <w:p w14:paraId="371A7386" w14:textId="77777777" w:rsidR="00112F64" w:rsidRPr="00112F64" w:rsidRDefault="00112F64" w:rsidP="002B358B">
            <w:pPr>
              <w:spacing w:line="360" w:lineRule="auto"/>
              <w:jc w:val="both"/>
            </w:pPr>
            <w:r w:rsidRPr="00112F64">
              <w:t>205.605</w:t>
            </w:r>
          </w:p>
        </w:tc>
        <w:tc>
          <w:tcPr>
            <w:tcW w:w="1414" w:type="dxa"/>
          </w:tcPr>
          <w:p w14:paraId="0CCEA255" w14:textId="77777777" w:rsidR="00112F64" w:rsidRPr="00112F64" w:rsidRDefault="00112F64" w:rsidP="002B358B">
            <w:pPr>
              <w:spacing w:line="360" w:lineRule="auto"/>
              <w:jc w:val="both"/>
            </w:pPr>
            <w:r w:rsidRPr="00112F64">
              <w:t>42273.473</w:t>
            </w:r>
          </w:p>
        </w:tc>
      </w:tr>
      <w:tr w:rsidR="00112F64" w:rsidRPr="00112F64" w14:paraId="79F4E554" w14:textId="77777777" w:rsidTr="002B358B">
        <w:tc>
          <w:tcPr>
            <w:tcW w:w="1706" w:type="dxa"/>
          </w:tcPr>
          <w:p w14:paraId="332B7E1A" w14:textId="77777777" w:rsidR="00112F64" w:rsidRPr="00112F64" w:rsidRDefault="00112F64" w:rsidP="002B358B">
            <w:pPr>
              <w:spacing w:line="360" w:lineRule="auto"/>
              <w:jc w:val="both"/>
            </w:pPr>
            <w:r w:rsidRPr="00112F64">
              <w:t>Home industries</w:t>
            </w:r>
          </w:p>
        </w:tc>
        <w:tc>
          <w:tcPr>
            <w:tcW w:w="1029" w:type="dxa"/>
          </w:tcPr>
          <w:p w14:paraId="269189A2" w14:textId="77777777" w:rsidR="00112F64" w:rsidRPr="00112F64" w:rsidRDefault="00112F64" w:rsidP="002B358B">
            <w:pPr>
              <w:spacing w:line="360" w:lineRule="auto"/>
              <w:jc w:val="both"/>
            </w:pPr>
            <w:r w:rsidRPr="00112F64">
              <w:t>11</w:t>
            </w:r>
          </w:p>
        </w:tc>
        <w:tc>
          <w:tcPr>
            <w:tcW w:w="1076" w:type="dxa"/>
          </w:tcPr>
          <w:p w14:paraId="3859CBB1" w14:textId="77777777" w:rsidR="00112F64" w:rsidRPr="00112F64" w:rsidRDefault="00112F64" w:rsidP="002B358B">
            <w:pPr>
              <w:spacing w:line="360" w:lineRule="auto"/>
              <w:jc w:val="both"/>
            </w:pPr>
            <w:r w:rsidRPr="00112F64">
              <w:t>2</w:t>
            </w:r>
          </w:p>
        </w:tc>
        <w:tc>
          <w:tcPr>
            <w:tcW w:w="1106" w:type="dxa"/>
          </w:tcPr>
          <w:p w14:paraId="67E815D9" w14:textId="77777777" w:rsidR="00112F64" w:rsidRPr="00112F64" w:rsidRDefault="00112F64" w:rsidP="002B358B">
            <w:pPr>
              <w:spacing w:line="360" w:lineRule="auto"/>
              <w:jc w:val="both"/>
            </w:pPr>
            <w:r w:rsidRPr="00112F64">
              <w:t>105</w:t>
            </w:r>
          </w:p>
        </w:tc>
        <w:tc>
          <w:tcPr>
            <w:tcW w:w="1029" w:type="dxa"/>
          </w:tcPr>
          <w:p w14:paraId="4D9B09C9" w14:textId="77777777" w:rsidR="00112F64" w:rsidRPr="00112F64" w:rsidRDefault="00112F64" w:rsidP="002B358B">
            <w:pPr>
              <w:spacing w:line="360" w:lineRule="auto"/>
              <w:jc w:val="both"/>
            </w:pPr>
            <w:r w:rsidRPr="00112F64">
              <w:t>19.09</w:t>
            </w:r>
          </w:p>
        </w:tc>
        <w:tc>
          <w:tcPr>
            <w:tcW w:w="1444" w:type="dxa"/>
          </w:tcPr>
          <w:p w14:paraId="4FD349B2" w14:textId="77777777" w:rsidR="00112F64" w:rsidRPr="00112F64" w:rsidRDefault="00112F64" w:rsidP="002B358B">
            <w:pPr>
              <w:spacing w:line="360" w:lineRule="auto"/>
              <w:jc w:val="both"/>
            </w:pPr>
            <w:r w:rsidRPr="00112F64">
              <w:t>29.211</w:t>
            </w:r>
          </w:p>
        </w:tc>
        <w:tc>
          <w:tcPr>
            <w:tcW w:w="1414" w:type="dxa"/>
          </w:tcPr>
          <w:p w14:paraId="77BF1E28" w14:textId="77777777" w:rsidR="00112F64" w:rsidRPr="00112F64" w:rsidRDefault="00112F64" w:rsidP="002B358B">
            <w:pPr>
              <w:spacing w:line="360" w:lineRule="auto"/>
              <w:jc w:val="both"/>
            </w:pPr>
            <w:r w:rsidRPr="00112F64">
              <w:t>853.291</w:t>
            </w:r>
          </w:p>
        </w:tc>
      </w:tr>
      <w:tr w:rsidR="00112F64" w:rsidRPr="00112F64" w14:paraId="1474DA1F" w14:textId="77777777" w:rsidTr="002B358B">
        <w:tc>
          <w:tcPr>
            <w:tcW w:w="1706" w:type="dxa"/>
          </w:tcPr>
          <w:p w14:paraId="430ED102" w14:textId="77777777" w:rsidR="00112F64" w:rsidRPr="00112F64" w:rsidRDefault="00112F64" w:rsidP="002B358B">
            <w:pPr>
              <w:spacing w:line="360" w:lineRule="auto"/>
              <w:jc w:val="both"/>
            </w:pPr>
            <w:r w:rsidRPr="00112F64">
              <w:t>Market Fires</w:t>
            </w:r>
          </w:p>
        </w:tc>
        <w:tc>
          <w:tcPr>
            <w:tcW w:w="1029" w:type="dxa"/>
          </w:tcPr>
          <w:p w14:paraId="2A751F8E" w14:textId="77777777" w:rsidR="00112F64" w:rsidRPr="00112F64" w:rsidRDefault="00112F64" w:rsidP="002B358B">
            <w:pPr>
              <w:spacing w:line="360" w:lineRule="auto"/>
              <w:jc w:val="both"/>
            </w:pPr>
            <w:r w:rsidRPr="00112F64">
              <w:t>11</w:t>
            </w:r>
          </w:p>
        </w:tc>
        <w:tc>
          <w:tcPr>
            <w:tcW w:w="1076" w:type="dxa"/>
          </w:tcPr>
          <w:p w14:paraId="6A485EA7" w14:textId="77777777" w:rsidR="00112F64" w:rsidRPr="00112F64" w:rsidRDefault="00112F64" w:rsidP="002B358B">
            <w:pPr>
              <w:spacing w:line="360" w:lineRule="auto"/>
              <w:jc w:val="both"/>
            </w:pPr>
            <w:r w:rsidRPr="00112F64">
              <w:t>1</w:t>
            </w:r>
          </w:p>
        </w:tc>
        <w:tc>
          <w:tcPr>
            <w:tcW w:w="1106" w:type="dxa"/>
          </w:tcPr>
          <w:p w14:paraId="7564253A" w14:textId="77777777" w:rsidR="00112F64" w:rsidRPr="00112F64" w:rsidRDefault="00112F64" w:rsidP="002B358B">
            <w:pPr>
              <w:spacing w:line="360" w:lineRule="auto"/>
              <w:jc w:val="both"/>
            </w:pPr>
            <w:r w:rsidRPr="00112F64">
              <w:t>25</w:t>
            </w:r>
          </w:p>
        </w:tc>
        <w:tc>
          <w:tcPr>
            <w:tcW w:w="1029" w:type="dxa"/>
          </w:tcPr>
          <w:p w14:paraId="1DF505E1" w14:textId="77777777" w:rsidR="00112F64" w:rsidRPr="00112F64" w:rsidRDefault="00112F64" w:rsidP="002B358B">
            <w:pPr>
              <w:spacing w:line="360" w:lineRule="auto"/>
              <w:jc w:val="both"/>
            </w:pPr>
            <w:r w:rsidRPr="00112F64">
              <w:t>4.55</w:t>
            </w:r>
          </w:p>
        </w:tc>
        <w:tc>
          <w:tcPr>
            <w:tcW w:w="1444" w:type="dxa"/>
          </w:tcPr>
          <w:p w14:paraId="5BEF3A1D" w14:textId="77777777" w:rsidR="00112F64" w:rsidRPr="00112F64" w:rsidRDefault="00112F64" w:rsidP="002B358B">
            <w:pPr>
              <w:spacing w:line="360" w:lineRule="auto"/>
              <w:jc w:val="both"/>
            </w:pPr>
            <w:r w:rsidRPr="00112F64">
              <w:t>6.861</w:t>
            </w:r>
          </w:p>
        </w:tc>
        <w:tc>
          <w:tcPr>
            <w:tcW w:w="1414" w:type="dxa"/>
          </w:tcPr>
          <w:p w14:paraId="03955F47" w14:textId="77777777" w:rsidR="00112F64" w:rsidRPr="00112F64" w:rsidRDefault="00112F64" w:rsidP="002B358B">
            <w:pPr>
              <w:spacing w:line="360" w:lineRule="auto"/>
              <w:jc w:val="both"/>
            </w:pPr>
            <w:r w:rsidRPr="00112F64">
              <w:t>47.073</w:t>
            </w:r>
          </w:p>
        </w:tc>
      </w:tr>
      <w:tr w:rsidR="00112F64" w:rsidRPr="00112F64" w14:paraId="2A3BDD28" w14:textId="77777777" w:rsidTr="002B358B">
        <w:tc>
          <w:tcPr>
            <w:tcW w:w="1706" w:type="dxa"/>
          </w:tcPr>
          <w:p w14:paraId="61E09AFF" w14:textId="77777777" w:rsidR="00112F64" w:rsidRPr="00112F64" w:rsidRDefault="00112F64" w:rsidP="002B358B">
            <w:pPr>
              <w:spacing w:line="360" w:lineRule="auto"/>
              <w:jc w:val="both"/>
            </w:pPr>
            <w:r w:rsidRPr="00112F64">
              <w:lastRenderedPageBreak/>
              <w:t>total</w:t>
            </w:r>
          </w:p>
        </w:tc>
        <w:tc>
          <w:tcPr>
            <w:tcW w:w="1029" w:type="dxa"/>
          </w:tcPr>
          <w:p w14:paraId="00A70A46" w14:textId="77777777" w:rsidR="00112F64" w:rsidRPr="00112F64" w:rsidRDefault="00112F64" w:rsidP="002B358B">
            <w:pPr>
              <w:spacing w:line="360" w:lineRule="auto"/>
              <w:jc w:val="both"/>
            </w:pPr>
            <w:r w:rsidRPr="00112F64">
              <w:t>11</w:t>
            </w:r>
          </w:p>
        </w:tc>
        <w:tc>
          <w:tcPr>
            <w:tcW w:w="1076" w:type="dxa"/>
          </w:tcPr>
          <w:p w14:paraId="2341C68B" w14:textId="77777777" w:rsidR="00112F64" w:rsidRPr="00112F64" w:rsidRDefault="00112F64" w:rsidP="002B358B">
            <w:pPr>
              <w:spacing w:line="360" w:lineRule="auto"/>
              <w:jc w:val="both"/>
            </w:pPr>
            <w:r w:rsidRPr="00112F64">
              <w:t>471</w:t>
            </w:r>
          </w:p>
        </w:tc>
        <w:tc>
          <w:tcPr>
            <w:tcW w:w="1106" w:type="dxa"/>
          </w:tcPr>
          <w:p w14:paraId="2D6A954B" w14:textId="77777777" w:rsidR="00112F64" w:rsidRPr="00112F64" w:rsidRDefault="00112F64" w:rsidP="002B358B">
            <w:pPr>
              <w:spacing w:line="360" w:lineRule="auto"/>
              <w:jc w:val="both"/>
            </w:pPr>
            <w:r w:rsidRPr="00112F64">
              <w:t>5772</w:t>
            </w:r>
          </w:p>
        </w:tc>
        <w:tc>
          <w:tcPr>
            <w:tcW w:w="1029" w:type="dxa"/>
          </w:tcPr>
          <w:p w14:paraId="6CEE3892" w14:textId="77777777" w:rsidR="00112F64" w:rsidRPr="00112F64" w:rsidRDefault="00112F64" w:rsidP="002B358B">
            <w:pPr>
              <w:spacing w:line="360" w:lineRule="auto"/>
              <w:jc w:val="both"/>
            </w:pPr>
            <w:r w:rsidRPr="00112F64">
              <w:t>1049.45</w:t>
            </w:r>
          </w:p>
        </w:tc>
        <w:tc>
          <w:tcPr>
            <w:tcW w:w="1444" w:type="dxa"/>
          </w:tcPr>
          <w:p w14:paraId="09FD24D4" w14:textId="77777777" w:rsidR="00112F64" w:rsidRPr="00112F64" w:rsidRDefault="00112F64" w:rsidP="002B358B">
            <w:pPr>
              <w:spacing w:line="360" w:lineRule="auto"/>
              <w:jc w:val="both"/>
            </w:pPr>
            <w:r w:rsidRPr="00112F64">
              <w:t>1567.870</w:t>
            </w:r>
          </w:p>
        </w:tc>
        <w:tc>
          <w:tcPr>
            <w:tcW w:w="1414" w:type="dxa"/>
          </w:tcPr>
          <w:p w14:paraId="4F7A848C" w14:textId="77777777" w:rsidR="00112F64" w:rsidRPr="00112F64" w:rsidRDefault="00112F64" w:rsidP="002B358B">
            <w:pPr>
              <w:spacing w:line="360" w:lineRule="auto"/>
              <w:jc w:val="both"/>
            </w:pPr>
            <w:r w:rsidRPr="00112F64">
              <w:t>2458217.473</w:t>
            </w:r>
          </w:p>
        </w:tc>
      </w:tr>
      <w:tr w:rsidR="00112F64" w:rsidRPr="00112F64" w14:paraId="63EACB1E" w14:textId="77777777" w:rsidTr="002B358B">
        <w:tc>
          <w:tcPr>
            <w:tcW w:w="1706" w:type="dxa"/>
          </w:tcPr>
          <w:p w14:paraId="55A00964" w14:textId="77777777" w:rsidR="00112F64" w:rsidRPr="00112F64" w:rsidRDefault="00112F64" w:rsidP="002B358B">
            <w:pPr>
              <w:spacing w:line="360" w:lineRule="auto"/>
              <w:jc w:val="both"/>
            </w:pPr>
            <w:r w:rsidRPr="00112F64">
              <w:t>Valid N (listwise)</w:t>
            </w:r>
          </w:p>
        </w:tc>
        <w:tc>
          <w:tcPr>
            <w:tcW w:w="1029" w:type="dxa"/>
          </w:tcPr>
          <w:p w14:paraId="77953491" w14:textId="77777777" w:rsidR="00112F64" w:rsidRPr="00112F64" w:rsidRDefault="00112F64" w:rsidP="002B358B">
            <w:pPr>
              <w:spacing w:line="360" w:lineRule="auto"/>
              <w:jc w:val="both"/>
            </w:pPr>
            <w:r w:rsidRPr="00112F64">
              <w:t>11</w:t>
            </w:r>
          </w:p>
        </w:tc>
        <w:tc>
          <w:tcPr>
            <w:tcW w:w="1076" w:type="dxa"/>
          </w:tcPr>
          <w:p w14:paraId="320E8674" w14:textId="77777777" w:rsidR="00112F64" w:rsidRPr="00112F64" w:rsidRDefault="00112F64" w:rsidP="002B358B">
            <w:pPr>
              <w:spacing w:line="360" w:lineRule="auto"/>
              <w:jc w:val="both"/>
            </w:pPr>
          </w:p>
        </w:tc>
        <w:tc>
          <w:tcPr>
            <w:tcW w:w="1106" w:type="dxa"/>
          </w:tcPr>
          <w:p w14:paraId="7248D9A4" w14:textId="77777777" w:rsidR="00112F64" w:rsidRPr="00112F64" w:rsidRDefault="00112F64" w:rsidP="002B358B">
            <w:pPr>
              <w:spacing w:line="360" w:lineRule="auto"/>
              <w:jc w:val="both"/>
            </w:pPr>
          </w:p>
        </w:tc>
        <w:tc>
          <w:tcPr>
            <w:tcW w:w="1029" w:type="dxa"/>
          </w:tcPr>
          <w:p w14:paraId="6FD2700C" w14:textId="77777777" w:rsidR="00112F64" w:rsidRPr="00112F64" w:rsidRDefault="00112F64" w:rsidP="002B358B">
            <w:pPr>
              <w:spacing w:line="360" w:lineRule="auto"/>
              <w:jc w:val="both"/>
            </w:pPr>
          </w:p>
        </w:tc>
        <w:tc>
          <w:tcPr>
            <w:tcW w:w="1444" w:type="dxa"/>
          </w:tcPr>
          <w:p w14:paraId="772165C8" w14:textId="77777777" w:rsidR="00112F64" w:rsidRPr="00112F64" w:rsidRDefault="00112F64" w:rsidP="002B358B">
            <w:pPr>
              <w:spacing w:line="360" w:lineRule="auto"/>
              <w:jc w:val="both"/>
            </w:pPr>
          </w:p>
        </w:tc>
        <w:tc>
          <w:tcPr>
            <w:tcW w:w="1414" w:type="dxa"/>
          </w:tcPr>
          <w:p w14:paraId="574A9960" w14:textId="77777777" w:rsidR="00112F64" w:rsidRPr="00112F64" w:rsidRDefault="00112F64" w:rsidP="002B358B">
            <w:pPr>
              <w:spacing w:line="360" w:lineRule="auto"/>
              <w:jc w:val="both"/>
            </w:pPr>
          </w:p>
        </w:tc>
      </w:tr>
    </w:tbl>
    <w:p w14:paraId="417F3689" w14:textId="77777777" w:rsidR="00112F64" w:rsidRPr="00112F64" w:rsidRDefault="00112F64" w:rsidP="002B358B">
      <w:pPr>
        <w:spacing w:line="360" w:lineRule="auto"/>
        <w:jc w:val="both"/>
      </w:pPr>
    </w:p>
    <w:p w14:paraId="485BEA2E" w14:textId="77777777" w:rsidR="00112F64" w:rsidRPr="00112F64" w:rsidRDefault="00112F64" w:rsidP="002B358B">
      <w:pPr>
        <w:spacing w:line="360" w:lineRule="auto"/>
        <w:jc w:val="both"/>
      </w:pPr>
      <w:r w:rsidRPr="00112F64">
        <w:t xml:space="preserve">The table presents descriptive statistics for fire incidents categorized by type, with each category having 11 observations. The key measures include minimum, maximum, mean, standard deviation, and variance. For example, “Grass” fires have a mean of 341.64, indicating that on average, these incidents involve higher values compared to “Home industries,” which have a mean of 19.09. The standard deviation reflects variability within each category; “Grass” fires have a high standard deviation of 510.528, suggesting considerable variation in incident counts or severity. The total row aggregates all categories, with a mean of 1049.45 and a large standard deviation of 1567.870, indicating wide variability across all fire types. The minimum and maximum values show the range of incidents, from as low as 0 (“Rubbish”) to as high as 5772 (“total”). Variance, being the square of the standard deviation, quantifies dispersion; for example, “Commercial” fires have a variance of 163,880.491, indicating substantial spread in the data. This table helps identify which categories tend to have higher or more variable incident counts, guiding resource allocation or further analysis. The “total” row summarizes the overall fire incidents, providing a broad view of the dataset’s scale and variability. </w:t>
      </w:r>
    </w:p>
    <w:p w14:paraId="0933BA56" w14:textId="77777777" w:rsidR="00112F64" w:rsidRPr="00112F64" w:rsidRDefault="00112F64" w:rsidP="002B358B">
      <w:pPr>
        <w:spacing w:line="360" w:lineRule="auto"/>
        <w:ind w:left="720"/>
        <w:contextualSpacing/>
        <w:jc w:val="both"/>
        <w:rPr>
          <w:highlight w:val="yellow"/>
        </w:rPr>
      </w:pPr>
    </w:p>
    <w:p w14:paraId="20801DA1" w14:textId="77777777" w:rsidR="00112F64" w:rsidRPr="00112F64" w:rsidRDefault="00112F64" w:rsidP="002B358B">
      <w:pPr>
        <w:pStyle w:val="Heading3"/>
        <w:jc w:val="both"/>
      </w:pPr>
      <w:bookmarkStart w:id="88" w:name="_Toc215652918"/>
      <w:r w:rsidRPr="00112F64">
        <w:t>4.3.1 Residential Fires</w:t>
      </w:r>
      <w:bookmarkEnd w:id="88"/>
    </w:p>
    <w:p w14:paraId="6DFD7FA7" w14:textId="77777777" w:rsidR="00112F64" w:rsidRPr="00112F64" w:rsidRDefault="00112F64" w:rsidP="002B358B">
      <w:pPr>
        <w:spacing w:line="360" w:lineRule="auto"/>
        <w:jc w:val="both"/>
      </w:pPr>
      <w:r w:rsidRPr="00112F64">
        <w:t xml:space="preserve">The table below lists domestic fire incidents by value over the 10-year period, showing the number of occurrences N and the corresponding percentages % of total fires, where each row represents fires themselves. Most fires have a single occurrence (about 9.1% each), while 154 stand out with 2 occurrences (18.2%), indicating it is relatively more common than the others. </w:t>
      </w:r>
    </w:p>
    <w:p w14:paraId="31172587" w14:textId="77777777" w:rsidR="00112F64" w:rsidRPr="00112F64" w:rsidRDefault="00112F64" w:rsidP="002B358B">
      <w:pPr>
        <w:spacing w:line="360" w:lineRule="auto"/>
        <w:jc w:val="both"/>
        <w:rPr>
          <w:highlight w:val="yellow"/>
        </w:rPr>
      </w:pPr>
      <w:r w:rsidRPr="00112F64">
        <w:t>The percentages sum to roughly 100%, highlighting the distribution of fire causes or locations and helping identify prevalent risk factors for targeted safety measures and resource allocation.</w:t>
      </w:r>
    </w:p>
    <w:p w14:paraId="60076942" w14:textId="77777777" w:rsidR="00112F64" w:rsidRPr="00112F64" w:rsidRDefault="00112F64" w:rsidP="002B358B">
      <w:pPr>
        <w:autoSpaceDE w:val="0"/>
        <w:autoSpaceDN w:val="0"/>
        <w:adjustRightInd w:val="0"/>
        <w:jc w:val="both"/>
      </w:pPr>
    </w:p>
    <w:p w14:paraId="175DF22E" w14:textId="11752DBF" w:rsidR="00112F64" w:rsidRPr="002B358B" w:rsidRDefault="00112F64" w:rsidP="002B358B">
      <w:pPr>
        <w:autoSpaceDE w:val="0"/>
        <w:autoSpaceDN w:val="0"/>
        <w:adjustRightInd w:val="0"/>
        <w:jc w:val="both"/>
        <w:rPr>
          <w:b/>
          <w:bCs/>
        </w:rPr>
      </w:pPr>
      <w:r w:rsidRPr="002B358B">
        <w:rPr>
          <w:b/>
          <w:bCs/>
        </w:rPr>
        <w:t>Table 4.3</w:t>
      </w:r>
      <w:r w:rsidR="00572E44" w:rsidRPr="002B358B">
        <w:rPr>
          <w:rFonts w:ascii="Arial" w:hAnsi="Arial" w:cs="Arial"/>
          <w:b/>
          <w:bCs/>
          <w:color w:val="010205"/>
          <w:sz w:val="22"/>
          <w:szCs w:val="22"/>
        </w:rPr>
        <w:t xml:space="preserve"> Domestic/Residential Fires</w:t>
      </w:r>
    </w:p>
    <w:tbl>
      <w:tblPr>
        <w:tblStyle w:val="TableGrid"/>
        <w:tblpPr w:leftFromText="180" w:rightFromText="180" w:vertAnchor="text" w:horzAnchor="page" w:tblpX="3331" w:tblpY="331"/>
        <w:tblW w:w="5215" w:type="dxa"/>
        <w:tblLayout w:type="fixed"/>
        <w:tblLook w:val="0000" w:firstRow="0" w:lastRow="0" w:firstColumn="0" w:lastColumn="0" w:noHBand="0" w:noVBand="0"/>
      </w:tblPr>
      <w:tblGrid>
        <w:gridCol w:w="1615"/>
        <w:gridCol w:w="1260"/>
        <w:gridCol w:w="2340"/>
      </w:tblGrid>
      <w:tr w:rsidR="00112F64" w:rsidRPr="00112F64" w14:paraId="1C51BB8F" w14:textId="77777777" w:rsidTr="002B358B">
        <w:tc>
          <w:tcPr>
            <w:tcW w:w="5215" w:type="dxa"/>
            <w:gridSpan w:val="3"/>
          </w:tcPr>
          <w:p w14:paraId="0A208317" w14:textId="2F43619C" w:rsidR="00112F64" w:rsidRPr="00112F64" w:rsidRDefault="00112F64" w:rsidP="002B358B">
            <w:pPr>
              <w:autoSpaceDE w:val="0"/>
              <w:autoSpaceDN w:val="0"/>
              <w:adjustRightInd w:val="0"/>
              <w:spacing w:line="320" w:lineRule="atLeast"/>
              <w:ind w:left="60" w:right="60"/>
              <w:jc w:val="both"/>
              <w:rPr>
                <w:rFonts w:ascii="Arial" w:hAnsi="Arial" w:cs="Arial"/>
                <w:color w:val="010205"/>
                <w:sz w:val="22"/>
                <w:szCs w:val="22"/>
              </w:rPr>
            </w:pPr>
          </w:p>
        </w:tc>
      </w:tr>
      <w:tr w:rsidR="00112F64" w:rsidRPr="00112F64" w14:paraId="2E7ADE52" w14:textId="77777777" w:rsidTr="002B358B">
        <w:tc>
          <w:tcPr>
            <w:tcW w:w="1615" w:type="dxa"/>
          </w:tcPr>
          <w:p w14:paraId="06952B41" w14:textId="77777777" w:rsidR="00112F64" w:rsidRPr="00112F64" w:rsidRDefault="00112F64" w:rsidP="002B358B">
            <w:pPr>
              <w:autoSpaceDE w:val="0"/>
              <w:autoSpaceDN w:val="0"/>
              <w:adjustRightInd w:val="0"/>
              <w:jc w:val="both"/>
            </w:pPr>
          </w:p>
        </w:tc>
        <w:tc>
          <w:tcPr>
            <w:tcW w:w="1260" w:type="dxa"/>
          </w:tcPr>
          <w:p w14:paraId="23A908F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N</w:t>
            </w:r>
          </w:p>
        </w:tc>
        <w:tc>
          <w:tcPr>
            <w:tcW w:w="2340" w:type="dxa"/>
          </w:tcPr>
          <w:p w14:paraId="26CA0051"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w:t>
            </w:r>
          </w:p>
        </w:tc>
      </w:tr>
      <w:tr w:rsidR="00112F64" w:rsidRPr="00112F64" w14:paraId="07A7FBD2" w14:textId="77777777" w:rsidTr="002B358B">
        <w:tc>
          <w:tcPr>
            <w:tcW w:w="1615" w:type="dxa"/>
          </w:tcPr>
          <w:p w14:paraId="3AAFC0C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lastRenderedPageBreak/>
              <w:t>100</w:t>
            </w:r>
          </w:p>
        </w:tc>
        <w:tc>
          <w:tcPr>
            <w:tcW w:w="1260" w:type="dxa"/>
          </w:tcPr>
          <w:p w14:paraId="0383C66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715FEA2F"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70735217" w14:textId="77777777" w:rsidTr="002B358B">
        <w:tc>
          <w:tcPr>
            <w:tcW w:w="1615" w:type="dxa"/>
          </w:tcPr>
          <w:p w14:paraId="52746CBF"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108</w:t>
            </w:r>
          </w:p>
        </w:tc>
        <w:tc>
          <w:tcPr>
            <w:tcW w:w="1260" w:type="dxa"/>
          </w:tcPr>
          <w:p w14:paraId="577CC3D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6871CA8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1876A312" w14:textId="77777777" w:rsidTr="002B358B">
        <w:tc>
          <w:tcPr>
            <w:tcW w:w="1615" w:type="dxa"/>
          </w:tcPr>
          <w:p w14:paraId="13212D4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110</w:t>
            </w:r>
          </w:p>
        </w:tc>
        <w:tc>
          <w:tcPr>
            <w:tcW w:w="1260" w:type="dxa"/>
          </w:tcPr>
          <w:p w14:paraId="7AD2A61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7E3A2A5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16FF38EC" w14:textId="77777777" w:rsidTr="002B358B">
        <w:tc>
          <w:tcPr>
            <w:tcW w:w="1615" w:type="dxa"/>
          </w:tcPr>
          <w:p w14:paraId="1A5AB931"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119</w:t>
            </w:r>
          </w:p>
        </w:tc>
        <w:tc>
          <w:tcPr>
            <w:tcW w:w="1260" w:type="dxa"/>
          </w:tcPr>
          <w:p w14:paraId="257F438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1E4D4FE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5ED945D2" w14:textId="77777777" w:rsidTr="002B358B">
        <w:tc>
          <w:tcPr>
            <w:tcW w:w="1615" w:type="dxa"/>
          </w:tcPr>
          <w:p w14:paraId="58376DB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125</w:t>
            </w:r>
          </w:p>
        </w:tc>
        <w:tc>
          <w:tcPr>
            <w:tcW w:w="1260" w:type="dxa"/>
          </w:tcPr>
          <w:p w14:paraId="6178868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67CDD7B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08A0003A" w14:textId="77777777" w:rsidTr="002B358B">
        <w:tc>
          <w:tcPr>
            <w:tcW w:w="1615" w:type="dxa"/>
          </w:tcPr>
          <w:p w14:paraId="505867EC"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128</w:t>
            </w:r>
          </w:p>
        </w:tc>
        <w:tc>
          <w:tcPr>
            <w:tcW w:w="1260" w:type="dxa"/>
          </w:tcPr>
          <w:p w14:paraId="6A97B262" w14:textId="77777777" w:rsidR="00112F64" w:rsidRPr="00112F64" w:rsidRDefault="00112F64" w:rsidP="002B358B">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340" w:type="dxa"/>
          </w:tcPr>
          <w:p w14:paraId="58A337C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553878EF" w14:textId="77777777" w:rsidTr="002B358B">
        <w:tc>
          <w:tcPr>
            <w:tcW w:w="1615" w:type="dxa"/>
          </w:tcPr>
          <w:p w14:paraId="7D355B4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138</w:t>
            </w:r>
          </w:p>
        </w:tc>
        <w:tc>
          <w:tcPr>
            <w:tcW w:w="1260" w:type="dxa"/>
          </w:tcPr>
          <w:p w14:paraId="02FAB092"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6654908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7514725B" w14:textId="77777777" w:rsidTr="002B358B">
        <w:tc>
          <w:tcPr>
            <w:tcW w:w="1615" w:type="dxa"/>
          </w:tcPr>
          <w:p w14:paraId="7284520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147</w:t>
            </w:r>
          </w:p>
        </w:tc>
        <w:tc>
          <w:tcPr>
            <w:tcW w:w="1260" w:type="dxa"/>
          </w:tcPr>
          <w:p w14:paraId="594B8AE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421D320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70964162" w14:textId="77777777" w:rsidTr="002B358B">
        <w:tc>
          <w:tcPr>
            <w:tcW w:w="1615" w:type="dxa"/>
          </w:tcPr>
          <w:p w14:paraId="2C74020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154</w:t>
            </w:r>
          </w:p>
        </w:tc>
        <w:tc>
          <w:tcPr>
            <w:tcW w:w="1260" w:type="dxa"/>
          </w:tcPr>
          <w:p w14:paraId="797E687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2340" w:type="dxa"/>
          </w:tcPr>
          <w:p w14:paraId="017B41C1"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024E11C2" w14:textId="77777777" w:rsidTr="002B358B">
        <w:tc>
          <w:tcPr>
            <w:tcW w:w="1615" w:type="dxa"/>
          </w:tcPr>
          <w:p w14:paraId="4F57364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1283</w:t>
            </w:r>
          </w:p>
        </w:tc>
        <w:tc>
          <w:tcPr>
            <w:tcW w:w="1260" w:type="dxa"/>
          </w:tcPr>
          <w:p w14:paraId="5FC91EF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41B61B9C"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bl>
    <w:p w14:paraId="080BEA0A" w14:textId="77777777" w:rsidR="00112F64" w:rsidRPr="00112F64" w:rsidRDefault="00112F64" w:rsidP="002B358B">
      <w:pPr>
        <w:tabs>
          <w:tab w:val="left" w:pos="1620"/>
        </w:tabs>
        <w:autoSpaceDE w:val="0"/>
        <w:autoSpaceDN w:val="0"/>
        <w:adjustRightInd w:val="0"/>
        <w:spacing w:line="400" w:lineRule="atLeast"/>
        <w:jc w:val="both"/>
      </w:pPr>
      <w:r w:rsidRPr="00112F64">
        <w:tab/>
        <w:t xml:space="preserve">            </w:t>
      </w:r>
    </w:p>
    <w:p w14:paraId="4C1E3BB4" w14:textId="77777777" w:rsidR="00112F64" w:rsidRPr="00112F64" w:rsidRDefault="00112F64" w:rsidP="002B358B">
      <w:pPr>
        <w:tabs>
          <w:tab w:val="left" w:pos="1620"/>
        </w:tabs>
        <w:autoSpaceDE w:val="0"/>
        <w:autoSpaceDN w:val="0"/>
        <w:adjustRightInd w:val="0"/>
        <w:spacing w:line="400" w:lineRule="atLeast"/>
        <w:jc w:val="both"/>
      </w:pPr>
      <w:r w:rsidRPr="00112F64">
        <w:br w:type="textWrapping" w:clear="all"/>
      </w:r>
    </w:p>
    <w:p w14:paraId="1996D1FF" w14:textId="77777777" w:rsidR="00572E44" w:rsidRDefault="00112F64" w:rsidP="002B358B">
      <w:pPr>
        <w:tabs>
          <w:tab w:val="left" w:pos="1620"/>
        </w:tabs>
        <w:autoSpaceDE w:val="0"/>
        <w:autoSpaceDN w:val="0"/>
        <w:adjustRightInd w:val="0"/>
        <w:spacing w:line="400" w:lineRule="atLeast"/>
        <w:jc w:val="center"/>
      </w:pPr>
      <w:r w:rsidRPr="00112F64">
        <w:rPr>
          <w:noProof/>
        </w:rPr>
        <w:drawing>
          <wp:inline distT="0" distB="0" distL="0" distR="0" wp14:anchorId="4F3C98E2" wp14:editId="578E0264">
            <wp:extent cx="4743450" cy="2787865"/>
            <wp:effectExtent l="0" t="0" r="0" b="0"/>
            <wp:docPr id="1273085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6860" cy="2789869"/>
                    </a:xfrm>
                    <a:prstGeom prst="rect">
                      <a:avLst/>
                    </a:prstGeom>
                    <a:noFill/>
                    <a:ln>
                      <a:noFill/>
                    </a:ln>
                  </pic:spPr>
                </pic:pic>
              </a:graphicData>
            </a:graphic>
          </wp:inline>
        </w:drawing>
      </w:r>
    </w:p>
    <w:p w14:paraId="082B4A07" w14:textId="4D51C8CE" w:rsidR="00572E44" w:rsidRPr="002B358B" w:rsidRDefault="00572E44" w:rsidP="002B358B">
      <w:pPr>
        <w:tabs>
          <w:tab w:val="left" w:pos="1620"/>
        </w:tabs>
        <w:autoSpaceDE w:val="0"/>
        <w:autoSpaceDN w:val="0"/>
        <w:adjustRightInd w:val="0"/>
        <w:spacing w:line="400" w:lineRule="atLeast"/>
        <w:jc w:val="both"/>
        <w:rPr>
          <w:b/>
          <w:bCs/>
        </w:rPr>
      </w:pPr>
      <w:r w:rsidRPr="002B358B">
        <w:rPr>
          <w:b/>
          <w:bCs/>
        </w:rPr>
        <w:t xml:space="preserve">Figure 4.2 </w:t>
      </w:r>
      <w:r w:rsidR="004C7FF8" w:rsidRPr="002B358B">
        <w:rPr>
          <w:b/>
          <w:bCs/>
        </w:rPr>
        <w:t>Residential fires</w:t>
      </w:r>
    </w:p>
    <w:p w14:paraId="7E4C6E85" w14:textId="77777777" w:rsidR="00112F64" w:rsidRPr="00112F64" w:rsidRDefault="00112F64" w:rsidP="002B358B">
      <w:pPr>
        <w:spacing w:line="360" w:lineRule="auto"/>
        <w:jc w:val="both"/>
        <w:rPr>
          <w:highlight w:val="yellow"/>
        </w:rPr>
      </w:pPr>
    </w:p>
    <w:p w14:paraId="5538D23C" w14:textId="77777777" w:rsidR="00112F64" w:rsidRPr="00112F64" w:rsidRDefault="00112F64" w:rsidP="002B358B">
      <w:pPr>
        <w:pStyle w:val="Heading3"/>
        <w:jc w:val="both"/>
      </w:pPr>
      <w:bookmarkStart w:id="89" w:name="_Toc215652919"/>
      <w:r w:rsidRPr="00112F64">
        <w:t>4.3.2 Market Fires</w:t>
      </w:r>
      <w:bookmarkEnd w:id="89"/>
    </w:p>
    <w:p w14:paraId="7FE6339D" w14:textId="77777777" w:rsidR="00112F64" w:rsidRPr="00112F64" w:rsidRDefault="00112F64" w:rsidP="002B358B">
      <w:pPr>
        <w:spacing w:line="360" w:lineRule="auto"/>
        <w:jc w:val="both"/>
        <w:rPr>
          <w:highlight w:val="yellow"/>
        </w:rPr>
      </w:pPr>
      <w:r w:rsidRPr="00112F64">
        <w:t xml:space="preserve">The table shows a dataset of market fires where the total percentages sum to 100%, with common values of 2 or 3 fires per case at 27.3% each. The distribution is largely centered on small numbers of fires, forming a somewhat symmetric middle around 2–3. </w:t>
      </w:r>
    </w:p>
    <w:p w14:paraId="3D571CD9" w14:textId="77777777" w:rsidR="00112F64" w:rsidRDefault="00112F64" w:rsidP="002B358B">
      <w:pPr>
        <w:autoSpaceDE w:val="0"/>
        <w:autoSpaceDN w:val="0"/>
        <w:adjustRightInd w:val="0"/>
        <w:jc w:val="both"/>
      </w:pPr>
    </w:p>
    <w:p w14:paraId="04935BDA" w14:textId="77777777" w:rsidR="00C64C1B" w:rsidRDefault="00C64C1B" w:rsidP="002B358B">
      <w:pPr>
        <w:autoSpaceDE w:val="0"/>
        <w:autoSpaceDN w:val="0"/>
        <w:adjustRightInd w:val="0"/>
        <w:jc w:val="both"/>
      </w:pPr>
    </w:p>
    <w:p w14:paraId="7E8564FF" w14:textId="77777777" w:rsidR="00C64C1B" w:rsidRPr="00112F64" w:rsidRDefault="00C64C1B" w:rsidP="002B358B">
      <w:pPr>
        <w:autoSpaceDE w:val="0"/>
        <w:autoSpaceDN w:val="0"/>
        <w:adjustRightInd w:val="0"/>
        <w:jc w:val="both"/>
      </w:pPr>
    </w:p>
    <w:p w14:paraId="51FA92C3" w14:textId="33D5A590" w:rsidR="00112F64" w:rsidRPr="002B358B" w:rsidRDefault="00112F64" w:rsidP="002B358B">
      <w:pPr>
        <w:autoSpaceDE w:val="0"/>
        <w:autoSpaceDN w:val="0"/>
        <w:adjustRightInd w:val="0"/>
        <w:jc w:val="both"/>
        <w:rPr>
          <w:b/>
          <w:bCs/>
        </w:rPr>
      </w:pPr>
      <w:r w:rsidRPr="002B358B">
        <w:rPr>
          <w:b/>
          <w:bCs/>
        </w:rPr>
        <w:t>Table 4.4</w:t>
      </w:r>
      <w:r w:rsidR="004C7FF8" w:rsidRPr="002B358B">
        <w:rPr>
          <w:b/>
          <w:bCs/>
        </w:rPr>
        <w:t xml:space="preserve"> Market fires</w:t>
      </w:r>
    </w:p>
    <w:tbl>
      <w:tblPr>
        <w:tblStyle w:val="TableGrid"/>
        <w:tblW w:w="2936" w:type="dxa"/>
        <w:jc w:val="center"/>
        <w:tblLayout w:type="fixed"/>
        <w:tblLook w:val="0000" w:firstRow="0" w:lastRow="0" w:firstColumn="0" w:lastColumn="0" w:noHBand="0" w:noVBand="0"/>
      </w:tblPr>
      <w:tblGrid>
        <w:gridCol w:w="737"/>
        <w:gridCol w:w="1106"/>
        <w:gridCol w:w="1093"/>
      </w:tblGrid>
      <w:tr w:rsidR="00112F64" w:rsidRPr="00112F64" w14:paraId="03F5161E" w14:textId="77777777" w:rsidTr="002B358B">
        <w:trPr>
          <w:jc w:val="center"/>
        </w:trPr>
        <w:tc>
          <w:tcPr>
            <w:tcW w:w="2936" w:type="dxa"/>
            <w:gridSpan w:val="3"/>
          </w:tcPr>
          <w:p w14:paraId="14DD2C31" w14:textId="263D5124" w:rsidR="00112F64" w:rsidRPr="00112F64" w:rsidRDefault="00112F64" w:rsidP="002B358B">
            <w:pPr>
              <w:autoSpaceDE w:val="0"/>
              <w:autoSpaceDN w:val="0"/>
              <w:adjustRightInd w:val="0"/>
              <w:spacing w:line="320" w:lineRule="atLeast"/>
              <w:ind w:left="60" w:right="60"/>
              <w:jc w:val="both"/>
              <w:rPr>
                <w:rFonts w:ascii="Arial" w:hAnsi="Arial" w:cs="Arial"/>
                <w:color w:val="010205"/>
                <w:sz w:val="22"/>
                <w:szCs w:val="22"/>
              </w:rPr>
            </w:pPr>
          </w:p>
        </w:tc>
      </w:tr>
      <w:tr w:rsidR="00112F64" w:rsidRPr="00112F64" w14:paraId="461643AB" w14:textId="77777777" w:rsidTr="002B358B">
        <w:trPr>
          <w:jc w:val="center"/>
        </w:trPr>
        <w:tc>
          <w:tcPr>
            <w:tcW w:w="737" w:type="dxa"/>
          </w:tcPr>
          <w:p w14:paraId="6C5E26DB" w14:textId="77777777" w:rsidR="00112F64" w:rsidRPr="00112F64" w:rsidRDefault="00112F64" w:rsidP="002B358B">
            <w:pPr>
              <w:autoSpaceDE w:val="0"/>
              <w:autoSpaceDN w:val="0"/>
              <w:adjustRightInd w:val="0"/>
              <w:jc w:val="both"/>
            </w:pPr>
          </w:p>
        </w:tc>
        <w:tc>
          <w:tcPr>
            <w:tcW w:w="1106" w:type="dxa"/>
          </w:tcPr>
          <w:p w14:paraId="730594F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N</w:t>
            </w:r>
          </w:p>
        </w:tc>
        <w:tc>
          <w:tcPr>
            <w:tcW w:w="1093" w:type="dxa"/>
          </w:tcPr>
          <w:p w14:paraId="3830E03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w:t>
            </w:r>
          </w:p>
        </w:tc>
      </w:tr>
      <w:tr w:rsidR="00112F64" w:rsidRPr="00112F64" w14:paraId="70D81652" w14:textId="77777777" w:rsidTr="002B358B">
        <w:trPr>
          <w:jc w:val="center"/>
        </w:trPr>
        <w:tc>
          <w:tcPr>
            <w:tcW w:w="737" w:type="dxa"/>
          </w:tcPr>
          <w:p w14:paraId="5F2EDEF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w:t>
            </w:r>
          </w:p>
        </w:tc>
        <w:tc>
          <w:tcPr>
            <w:tcW w:w="1106" w:type="dxa"/>
          </w:tcPr>
          <w:p w14:paraId="242CC6D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1093" w:type="dxa"/>
          </w:tcPr>
          <w:p w14:paraId="64D5959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2D435FFD" w14:textId="77777777" w:rsidTr="002B358B">
        <w:trPr>
          <w:jc w:val="center"/>
        </w:trPr>
        <w:tc>
          <w:tcPr>
            <w:tcW w:w="737" w:type="dxa"/>
          </w:tcPr>
          <w:p w14:paraId="2CDD338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lastRenderedPageBreak/>
              <w:t>2</w:t>
            </w:r>
          </w:p>
        </w:tc>
        <w:tc>
          <w:tcPr>
            <w:tcW w:w="1106" w:type="dxa"/>
          </w:tcPr>
          <w:p w14:paraId="3D0EF06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3</w:t>
            </w:r>
          </w:p>
        </w:tc>
        <w:tc>
          <w:tcPr>
            <w:tcW w:w="1093" w:type="dxa"/>
          </w:tcPr>
          <w:p w14:paraId="01296CE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27.3%</w:t>
            </w:r>
          </w:p>
        </w:tc>
      </w:tr>
      <w:tr w:rsidR="00112F64" w:rsidRPr="00112F64" w14:paraId="07F90DC4" w14:textId="77777777" w:rsidTr="002B358B">
        <w:trPr>
          <w:jc w:val="center"/>
        </w:trPr>
        <w:tc>
          <w:tcPr>
            <w:tcW w:w="737" w:type="dxa"/>
          </w:tcPr>
          <w:p w14:paraId="0CC63BB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3</w:t>
            </w:r>
          </w:p>
        </w:tc>
        <w:tc>
          <w:tcPr>
            <w:tcW w:w="1106" w:type="dxa"/>
          </w:tcPr>
          <w:p w14:paraId="2BEE83F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3</w:t>
            </w:r>
          </w:p>
        </w:tc>
        <w:tc>
          <w:tcPr>
            <w:tcW w:w="1093" w:type="dxa"/>
          </w:tcPr>
          <w:p w14:paraId="784847D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27.3%</w:t>
            </w:r>
          </w:p>
        </w:tc>
      </w:tr>
      <w:tr w:rsidR="00112F64" w:rsidRPr="00112F64" w14:paraId="2DEC9F79" w14:textId="77777777" w:rsidTr="002B358B">
        <w:trPr>
          <w:jc w:val="center"/>
        </w:trPr>
        <w:tc>
          <w:tcPr>
            <w:tcW w:w="737" w:type="dxa"/>
          </w:tcPr>
          <w:p w14:paraId="7891BD7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4</w:t>
            </w:r>
          </w:p>
        </w:tc>
        <w:tc>
          <w:tcPr>
            <w:tcW w:w="1106" w:type="dxa"/>
          </w:tcPr>
          <w:p w14:paraId="0A1D7C7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1093" w:type="dxa"/>
          </w:tcPr>
          <w:p w14:paraId="283C574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3B1E3D5D" w14:textId="77777777" w:rsidTr="002B358B">
        <w:trPr>
          <w:jc w:val="center"/>
        </w:trPr>
        <w:tc>
          <w:tcPr>
            <w:tcW w:w="737" w:type="dxa"/>
          </w:tcPr>
          <w:p w14:paraId="69AEC1A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25</w:t>
            </w:r>
          </w:p>
        </w:tc>
        <w:tc>
          <w:tcPr>
            <w:tcW w:w="1106" w:type="dxa"/>
          </w:tcPr>
          <w:p w14:paraId="7047A4D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1093" w:type="dxa"/>
          </w:tcPr>
          <w:p w14:paraId="078CAEE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bl>
    <w:p w14:paraId="1224FF24" w14:textId="77777777" w:rsidR="00112F64" w:rsidRPr="00112F64" w:rsidRDefault="00112F64" w:rsidP="002B358B">
      <w:pPr>
        <w:spacing w:line="360" w:lineRule="auto"/>
        <w:jc w:val="both"/>
        <w:rPr>
          <w:b/>
          <w:bCs/>
          <w:highlight w:val="yellow"/>
        </w:rPr>
      </w:pPr>
    </w:p>
    <w:p w14:paraId="7146403D" w14:textId="3BF395D1" w:rsidR="00112F64" w:rsidRDefault="00112F64" w:rsidP="002B358B">
      <w:pPr>
        <w:spacing w:line="360" w:lineRule="auto"/>
        <w:jc w:val="center"/>
        <w:rPr>
          <w:b/>
          <w:bCs/>
          <w:highlight w:val="yellow"/>
        </w:rPr>
      </w:pPr>
      <w:r w:rsidRPr="00112F64">
        <w:rPr>
          <w:noProof/>
          <w:highlight w:val="yellow"/>
        </w:rPr>
        <w:drawing>
          <wp:inline distT="0" distB="0" distL="0" distR="0" wp14:anchorId="468EB1AB" wp14:editId="15EA375F">
            <wp:extent cx="4083050" cy="2400046"/>
            <wp:effectExtent l="0" t="0" r="0" b="635"/>
            <wp:docPr id="1160355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85517" cy="2401496"/>
                    </a:xfrm>
                    <a:prstGeom prst="rect">
                      <a:avLst/>
                    </a:prstGeom>
                    <a:noFill/>
                    <a:ln>
                      <a:noFill/>
                    </a:ln>
                  </pic:spPr>
                </pic:pic>
              </a:graphicData>
            </a:graphic>
          </wp:inline>
        </w:drawing>
      </w:r>
    </w:p>
    <w:p w14:paraId="1BBBE2A9" w14:textId="6A6146FF" w:rsidR="004C7FF8" w:rsidRPr="002B358B" w:rsidRDefault="00542FA1" w:rsidP="002B358B">
      <w:pPr>
        <w:spacing w:line="360" w:lineRule="auto"/>
        <w:jc w:val="both"/>
        <w:rPr>
          <w:b/>
          <w:bCs/>
        </w:rPr>
      </w:pPr>
      <w:r w:rsidRPr="002B358B">
        <w:rPr>
          <w:b/>
          <w:bCs/>
        </w:rPr>
        <w:t>Figure 4.3 Market fires</w:t>
      </w:r>
    </w:p>
    <w:p w14:paraId="0AC752B0" w14:textId="77777777" w:rsidR="004C7FF8" w:rsidRPr="00112F64" w:rsidRDefault="004C7FF8" w:rsidP="002B358B">
      <w:pPr>
        <w:spacing w:line="360" w:lineRule="auto"/>
        <w:jc w:val="both"/>
        <w:rPr>
          <w:b/>
          <w:bCs/>
          <w:highlight w:val="yellow"/>
        </w:rPr>
      </w:pPr>
    </w:p>
    <w:p w14:paraId="2F1B4A97" w14:textId="77777777" w:rsidR="00112F64" w:rsidRPr="00112F64" w:rsidRDefault="00112F64" w:rsidP="002B358B">
      <w:pPr>
        <w:spacing w:line="360" w:lineRule="auto"/>
        <w:jc w:val="both"/>
        <w:rPr>
          <w:b/>
          <w:bCs/>
          <w:highlight w:val="yellow"/>
        </w:rPr>
      </w:pPr>
      <w:r w:rsidRPr="00112F64">
        <w:t>4.3.3 Industrial Fires</w:t>
      </w:r>
      <w:r w:rsidRPr="00112F64">
        <w:rPr>
          <w:b/>
          <w:bCs/>
        </w:rPr>
        <w:t xml:space="preserve"> </w:t>
      </w:r>
      <w:r w:rsidRPr="00112F64">
        <w:t xml:space="preserve">The most frequent N values are 14 (3 occurrences, 27.3%), followed by 15 and 17 (2 occurrences each, 18.2%), while the least frequent are 10, 12, and 152 (each 1 occurrence, 9.1%).  </w:t>
      </w:r>
    </w:p>
    <w:p w14:paraId="45094205" w14:textId="77777777" w:rsidR="00112F64" w:rsidRPr="00112F64" w:rsidRDefault="00112F64" w:rsidP="002B358B">
      <w:pPr>
        <w:autoSpaceDE w:val="0"/>
        <w:autoSpaceDN w:val="0"/>
        <w:adjustRightInd w:val="0"/>
        <w:jc w:val="both"/>
      </w:pPr>
    </w:p>
    <w:p w14:paraId="0F369861" w14:textId="41A0D351" w:rsidR="00112F64" w:rsidRPr="002B358B" w:rsidRDefault="00112F64" w:rsidP="002B358B">
      <w:pPr>
        <w:autoSpaceDE w:val="0"/>
        <w:autoSpaceDN w:val="0"/>
        <w:adjustRightInd w:val="0"/>
        <w:jc w:val="both"/>
        <w:rPr>
          <w:rFonts w:ascii="Arial" w:hAnsi="Arial" w:cs="Arial"/>
          <w:b/>
          <w:bCs/>
          <w:color w:val="010205"/>
          <w:sz w:val="22"/>
          <w:szCs w:val="22"/>
        </w:rPr>
      </w:pPr>
      <w:r w:rsidRPr="002B358B">
        <w:rPr>
          <w:b/>
          <w:bCs/>
        </w:rPr>
        <w:t>Table 4.5</w:t>
      </w:r>
      <w:r w:rsidR="00542FA1" w:rsidRPr="002B358B">
        <w:rPr>
          <w:rFonts w:ascii="Arial" w:hAnsi="Arial" w:cs="Arial"/>
          <w:b/>
          <w:bCs/>
          <w:color w:val="010205"/>
          <w:sz w:val="22"/>
          <w:szCs w:val="22"/>
        </w:rPr>
        <w:t xml:space="preserve"> Industrial</w:t>
      </w:r>
      <w:r w:rsidR="002B358B">
        <w:rPr>
          <w:rFonts w:ascii="Arial" w:hAnsi="Arial" w:cs="Arial"/>
          <w:b/>
          <w:bCs/>
          <w:color w:val="010205"/>
          <w:sz w:val="22"/>
          <w:szCs w:val="22"/>
        </w:rPr>
        <w:t xml:space="preserve"> Fires</w:t>
      </w:r>
    </w:p>
    <w:p w14:paraId="078EBC4B" w14:textId="77777777" w:rsidR="00AF597D" w:rsidRPr="00112F64" w:rsidRDefault="00AF597D" w:rsidP="002B358B">
      <w:pPr>
        <w:autoSpaceDE w:val="0"/>
        <w:autoSpaceDN w:val="0"/>
        <w:adjustRightInd w:val="0"/>
        <w:jc w:val="both"/>
      </w:pPr>
    </w:p>
    <w:tbl>
      <w:tblPr>
        <w:tblStyle w:val="TableGrid"/>
        <w:tblW w:w="6025" w:type="dxa"/>
        <w:tblLayout w:type="fixed"/>
        <w:tblLook w:val="0000" w:firstRow="0" w:lastRow="0" w:firstColumn="0" w:lastColumn="0" w:noHBand="0" w:noVBand="0"/>
      </w:tblPr>
      <w:tblGrid>
        <w:gridCol w:w="2065"/>
        <w:gridCol w:w="1710"/>
        <w:gridCol w:w="2250"/>
      </w:tblGrid>
      <w:tr w:rsidR="00112F64" w:rsidRPr="00112F64" w14:paraId="285D92E5" w14:textId="77777777" w:rsidTr="002B358B">
        <w:trPr>
          <w:trHeight w:val="326"/>
        </w:trPr>
        <w:tc>
          <w:tcPr>
            <w:tcW w:w="6025" w:type="dxa"/>
            <w:gridSpan w:val="3"/>
          </w:tcPr>
          <w:p w14:paraId="3C807D8E" w14:textId="6A58BC7D" w:rsidR="00112F64" w:rsidRPr="00112F64" w:rsidRDefault="00112F64" w:rsidP="002B358B">
            <w:pPr>
              <w:autoSpaceDE w:val="0"/>
              <w:autoSpaceDN w:val="0"/>
              <w:adjustRightInd w:val="0"/>
              <w:spacing w:line="320" w:lineRule="atLeast"/>
              <w:ind w:left="60" w:right="60"/>
              <w:jc w:val="both"/>
              <w:rPr>
                <w:rFonts w:ascii="Arial" w:hAnsi="Arial" w:cs="Arial"/>
                <w:color w:val="010205"/>
                <w:sz w:val="22"/>
                <w:szCs w:val="22"/>
              </w:rPr>
            </w:pPr>
          </w:p>
        </w:tc>
      </w:tr>
      <w:tr w:rsidR="00112F64" w:rsidRPr="00112F64" w14:paraId="60833D62" w14:textId="77777777" w:rsidTr="002B358B">
        <w:trPr>
          <w:trHeight w:val="340"/>
        </w:trPr>
        <w:tc>
          <w:tcPr>
            <w:tcW w:w="2065" w:type="dxa"/>
          </w:tcPr>
          <w:p w14:paraId="28D91AA8" w14:textId="77777777" w:rsidR="00112F64" w:rsidRPr="00112F64" w:rsidRDefault="00112F64" w:rsidP="002B358B">
            <w:pPr>
              <w:autoSpaceDE w:val="0"/>
              <w:autoSpaceDN w:val="0"/>
              <w:adjustRightInd w:val="0"/>
              <w:jc w:val="both"/>
            </w:pPr>
          </w:p>
        </w:tc>
        <w:tc>
          <w:tcPr>
            <w:tcW w:w="1710" w:type="dxa"/>
          </w:tcPr>
          <w:p w14:paraId="2BE0731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N</w:t>
            </w:r>
          </w:p>
        </w:tc>
        <w:tc>
          <w:tcPr>
            <w:tcW w:w="2250" w:type="dxa"/>
          </w:tcPr>
          <w:p w14:paraId="5CAC7EA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w:t>
            </w:r>
          </w:p>
        </w:tc>
      </w:tr>
      <w:tr w:rsidR="00112F64" w:rsidRPr="00112F64" w14:paraId="51913A21" w14:textId="77777777" w:rsidTr="002B358B">
        <w:trPr>
          <w:trHeight w:val="340"/>
        </w:trPr>
        <w:tc>
          <w:tcPr>
            <w:tcW w:w="2065" w:type="dxa"/>
          </w:tcPr>
          <w:p w14:paraId="25D6B05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10</w:t>
            </w:r>
          </w:p>
        </w:tc>
        <w:tc>
          <w:tcPr>
            <w:tcW w:w="1710" w:type="dxa"/>
          </w:tcPr>
          <w:p w14:paraId="3837EE5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250" w:type="dxa"/>
          </w:tcPr>
          <w:p w14:paraId="54BF7FA8"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5166C5D4" w14:textId="77777777" w:rsidTr="002B358B">
        <w:trPr>
          <w:trHeight w:val="340"/>
        </w:trPr>
        <w:tc>
          <w:tcPr>
            <w:tcW w:w="2065" w:type="dxa"/>
          </w:tcPr>
          <w:p w14:paraId="4B6FE59F"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12</w:t>
            </w:r>
          </w:p>
        </w:tc>
        <w:tc>
          <w:tcPr>
            <w:tcW w:w="1710" w:type="dxa"/>
          </w:tcPr>
          <w:p w14:paraId="1EC8D23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250" w:type="dxa"/>
          </w:tcPr>
          <w:p w14:paraId="193640F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6BF5CB8A" w14:textId="77777777" w:rsidTr="002B358B">
        <w:trPr>
          <w:trHeight w:val="326"/>
        </w:trPr>
        <w:tc>
          <w:tcPr>
            <w:tcW w:w="2065" w:type="dxa"/>
          </w:tcPr>
          <w:p w14:paraId="6EC0332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14</w:t>
            </w:r>
          </w:p>
        </w:tc>
        <w:tc>
          <w:tcPr>
            <w:tcW w:w="1710" w:type="dxa"/>
          </w:tcPr>
          <w:p w14:paraId="5E77308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3</w:t>
            </w:r>
          </w:p>
        </w:tc>
        <w:tc>
          <w:tcPr>
            <w:tcW w:w="2250" w:type="dxa"/>
          </w:tcPr>
          <w:p w14:paraId="1D8E022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27.3%</w:t>
            </w:r>
          </w:p>
        </w:tc>
      </w:tr>
      <w:tr w:rsidR="00112F64" w:rsidRPr="00112F64" w14:paraId="24BD57B1" w14:textId="77777777" w:rsidTr="002B358B">
        <w:trPr>
          <w:trHeight w:val="340"/>
        </w:trPr>
        <w:tc>
          <w:tcPr>
            <w:tcW w:w="2065" w:type="dxa"/>
          </w:tcPr>
          <w:p w14:paraId="4F8E5582"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15</w:t>
            </w:r>
          </w:p>
        </w:tc>
        <w:tc>
          <w:tcPr>
            <w:tcW w:w="1710" w:type="dxa"/>
          </w:tcPr>
          <w:p w14:paraId="2273371E"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2250" w:type="dxa"/>
          </w:tcPr>
          <w:p w14:paraId="39163A0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02F8A212" w14:textId="77777777" w:rsidTr="002B358B">
        <w:trPr>
          <w:trHeight w:val="340"/>
        </w:trPr>
        <w:tc>
          <w:tcPr>
            <w:tcW w:w="2065" w:type="dxa"/>
          </w:tcPr>
          <w:p w14:paraId="0ED9F4C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17</w:t>
            </w:r>
          </w:p>
        </w:tc>
        <w:tc>
          <w:tcPr>
            <w:tcW w:w="1710" w:type="dxa"/>
          </w:tcPr>
          <w:p w14:paraId="5A9010BE"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2250" w:type="dxa"/>
          </w:tcPr>
          <w:p w14:paraId="63DF276E"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438FF144" w14:textId="77777777" w:rsidTr="002B358B">
        <w:trPr>
          <w:trHeight w:val="340"/>
        </w:trPr>
        <w:tc>
          <w:tcPr>
            <w:tcW w:w="2065" w:type="dxa"/>
          </w:tcPr>
          <w:p w14:paraId="176E50B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152</w:t>
            </w:r>
          </w:p>
        </w:tc>
        <w:tc>
          <w:tcPr>
            <w:tcW w:w="1710" w:type="dxa"/>
          </w:tcPr>
          <w:p w14:paraId="7E1BAE4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250" w:type="dxa"/>
          </w:tcPr>
          <w:p w14:paraId="06FA18A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2DA75F3C" w14:textId="77777777" w:rsidTr="002B358B">
        <w:trPr>
          <w:trHeight w:val="340"/>
        </w:trPr>
        <w:tc>
          <w:tcPr>
            <w:tcW w:w="2065" w:type="dxa"/>
          </w:tcPr>
          <w:p w14:paraId="0427A58F"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280</w:t>
            </w:r>
          </w:p>
        </w:tc>
        <w:tc>
          <w:tcPr>
            <w:tcW w:w="1710" w:type="dxa"/>
          </w:tcPr>
          <w:p w14:paraId="000708F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250" w:type="dxa"/>
          </w:tcPr>
          <w:p w14:paraId="28F08191"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bl>
    <w:p w14:paraId="08FD53D2" w14:textId="77777777" w:rsidR="00112F64" w:rsidRPr="00112F64" w:rsidRDefault="00112F64" w:rsidP="002B358B">
      <w:pPr>
        <w:autoSpaceDE w:val="0"/>
        <w:autoSpaceDN w:val="0"/>
        <w:adjustRightInd w:val="0"/>
        <w:spacing w:line="400" w:lineRule="atLeast"/>
        <w:jc w:val="both"/>
      </w:pPr>
    </w:p>
    <w:p w14:paraId="79855CA7" w14:textId="77777777" w:rsidR="00112F64" w:rsidRPr="00112F64" w:rsidRDefault="00112F64" w:rsidP="002B358B">
      <w:pPr>
        <w:autoSpaceDE w:val="0"/>
        <w:autoSpaceDN w:val="0"/>
        <w:adjustRightInd w:val="0"/>
        <w:spacing w:line="400" w:lineRule="atLeast"/>
        <w:jc w:val="both"/>
      </w:pPr>
    </w:p>
    <w:p w14:paraId="1E27D67C" w14:textId="77777777" w:rsidR="00112F64" w:rsidRPr="00112F64" w:rsidRDefault="00112F64" w:rsidP="002B358B">
      <w:pPr>
        <w:spacing w:line="360" w:lineRule="auto"/>
        <w:jc w:val="center"/>
        <w:rPr>
          <w:b/>
          <w:bCs/>
          <w:highlight w:val="yellow"/>
        </w:rPr>
      </w:pPr>
      <w:bookmarkStart w:id="90" w:name="_Hlk215324448"/>
      <w:r w:rsidRPr="00112F64">
        <w:rPr>
          <w:noProof/>
        </w:rPr>
        <w:lastRenderedPageBreak/>
        <w:drawing>
          <wp:inline distT="0" distB="0" distL="0" distR="0" wp14:anchorId="7D364D42" wp14:editId="273ED8AF">
            <wp:extent cx="3643532" cy="2141354"/>
            <wp:effectExtent l="0" t="0" r="0" b="0"/>
            <wp:docPr id="17948648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3532" cy="2141354"/>
                    </a:xfrm>
                    <a:prstGeom prst="rect">
                      <a:avLst/>
                    </a:prstGeom>
                    <a:noFill/>
                    <a:ln>
                      <a:noFill/>
                    </a:ln>
                  </pic:spPr>
                </pic:pic>
              </a:graphicData>
            </a:graphic>
          </wp:inline>
        </w:drawing>
      </w:r>
    </w:p>
    <w:p w14:paraId="286915A4" w14:textId="206CB193" w:rsidR="00542FA1" w:rsidRPr="002B358B" w:rsidRDefault="00542FA1" w:rsidP="002B358B">
      <w:pPr>
        <w:spacing w:line="360" w:lineRule="auto"/>
        <w:jc w:val="both"/>
        <w:rPr>
          <w:b/>
          <w:bCs/>
        </w:rPr>
      </w:pPr>
      <w:r w:rsidRPr="002B358B">
        <w:rPr>
          <w:b/>
          <w:bCs/>
        </w:rPr>
        <w:t>Figure 4.4 Industrial fires</w:t>
      </w:r>
    </w:p>
    <w:p w14:paraId="795C13EE" w14:textId="77777777" w:rsidR="00112F64" w:rsidRPr="00112F64" w:rsidRDefault="00112F64" w:rsidP="002B358B">
      <w:pPr>
        <w:spacing w:line="360" w:lineRule="auto"/>
        <w:jc w:val="both"/>
        <w:rPr>
          <w:b/>
          <w:bCs/>
          <w:highlight w:val="yellow"/>
        </w:rPr>
      </w:pPr>
    </w:p>
    <w:p w14:paraId="5C759D33" w14:textId="77777777" w:rsidR="00112F64" w:rsidRPr="00112F64" w:rsidRDefault="00112F64" w:rsidP="002B358B">
      <w:pPr>
        <w:pStyle w:val="Heading3"/>
        <w:jc w:val="both"/>
      </w:pPr>
      <w:bookmarkStart w:id="91" w:name="_Toc215652920"/>
      <w:r w:rsidRPr="00112F64">
        <w:t>4.3.4 Commercial Fires</w:t>
      </w:r>
      <w:bookmarkEnd w:id="91"/>
    </w:p>
    <w:p w14:paraId="271CA497" w14:textId="77777777" w:rsidR="00112F64" w:rsidRPr="00112F64" w:rsidRDefault="00112F64" w:rsidP="002B358B">
      <w:pPr>
        <w:spacing w:line="360" w:lineRule="auto"/>
        <w:jc w:val="both"/>
        <w:rPr>
          <w:highlight w:val="yellow"/>
        </w:rPr>
      </w:pPr>
      <w:r w:rsidRPr="00112F64">
        <w:t>The table shows how often each N value appears, with counts adding up to 10 observations in total. Most N values occur once, while the value 194 occurs twice, yielding frequencies that translate into percentages (e.g., 1 → 9.1% and 2 → 18.2%) based on the total of 10. This is a typical frequency distribution, illustrating that the dataset is dominated by rare single occurrences and a single value with a higher count, which shapes the overall distribution.</w:t>
      </w:r>
    </w:p>
    <w:bookmarkEnd w:id="90"/>
    <w:p w14:paraId="10E30063" w14:textId="77777777" w:rsidR="00112F64" w:rsidRPr="00112F64" w:rsidRDefault="00112F64" w:rsidP="002B358B">
      <w:pPr>
        <w:autoSpaceDE w:val="0"/>
        <w:autoSpaceDN w:val="0"/>
        <w:adjustRightInd w:val="0"/>
        <w:jc w:val="both"/>
      </w:pPr>
    </w:p>
    <w:tbl>
      <w:tblPr>
        <w:tblStyle w:val="TableGrid"/>
        <w:tblW w:w="5125" w:type="dxa"/>
        <w:tblLayout w:type="fixed"/>
        <w:tblLook w:val="0000" w:firstRow="0" w:lastRow="0" w:firstColumn="0" w:lastColumn="0" w:noHBand="0" w:noVBand="0"/>
      </w:tblPr>
      <w:tblGrid>
        <w:gridCol w:w="1435"/>
        <w:gridCol w:w="1170"/>
        <w:gridCol w:w="2520"/>
      </w:tblGrid>
      <w:tr w:rsidR="00112F64" w:rsidRPr="00112F64" w14:paraId="0CDDBE80" w14:textId="77777777" w:rsidTr="002B358B">
        <w:tc>
          <w:tcPr>
            <w:tcW w:w="5125" w:type="dxa"/>
            <w:gridSpan w:val="3"/>
          </w:tcPr>
          <w:p w14:paraId="6F928D09" w14:textId="092E8E42" w:rsidR="00112F64" w:rsidRDefault="00112F64" w:rsidP="00226B80">
            <w:pPr>
              <w:autoSpaceDE w:val="0"/>
              <w:autoSpaceDN w:val="0"/>
              <w:adjustRightInd w:val="0"/>
              <w:spacing w:line="320" w:lineRule="atLeast"/>
              <w:ind w:left="60" w:right="60"/>
              <w:jc w:val="center"/>
              <w:rPr>
                <w:rFonts w:ascii="Arial" w:hAnsi="Arial" w:cs="Arial"/>
                <w:b/>
                <w:bCs/>
                <w:color w:val="010205"/>
                <w:sz w:val="22"/>
                <w:szCs w:val="22"/>
              </w:rPr>
            </w:pPr>
            <w:r w:rsidRPr="00112F64">
              <w:rPr>
                <w:rFonts w:ascii="Arial" w:hAnsi="Arial" w:cs="Arial"/>
                <w:b/>
                <w:bCs/>
                <w:color w:val="010205"/>
                <w:sz w:val="22"/>
                <w:szCs w:val="22"/>
              </w:rPr>
              <w:t>Table 4.7</w:t>
            </w:r>
            <w:r w:rsidR="00542FA1" w:rsidRPr="00112F64">
              <w:rPr>
                <w:rFonts w:ascii="Arial" w:hAnsi="Arial" w:cs="Arial"/>
                <w:b/>
                <w:bCs/>
                <w:color w:val="010205"/>
                <w:sz w:val="22"/>
                <w:szCs w:val="22"/>
              </w:rPr>
              <w:t xml:space="preserve"> Commercial</w:t>
            </w:r>
          </w:p>
          <w:p w14:paraId="5A14425B" w14:textId="77777777" w:rsidR="00AF597D" w:rsidRPr="00112F64" w:rsidRDefault="00AF597D" w:rsidP="00226B80">
            <w:pPr>
              <w:autoSpaceDE w:val="0"/>
              <w:autoSpaceDN w:val="0"/>
              <w:adjustRightInd w:val="0"/>
              <w:spacing w:line="320" w:lineRule="atLeast"/>
              <w:ind w:left="60" w:right="60"/>
              <w:jc w:val="center"/>
              <w:rPr>
                <w:rFonts w:ascii="Arial" w:hAnsi="Arial" w:cs="Arial"/>
                <w:b/>
                <w:bCs/>
                <w:color w:val="010205"/>
                <w:sz w:val="22"/>
                <w:szCs w:val="22"/>
              </w:rPr>
            </w:pPr>
          </w:p>
          <w:p w14:paraId="64397F83" w14:textId="67659BF9" w:rsidR="00112F64" w:rsidRPr="00112F64" w:rsidRDefault="00112F64" w:rsidP="00226B80">
            <w:pPr>
              <w:autoSpaceDE w:val="0"/>
              <w:autoSpaceDN w:val="0"/>
              <w:adjustRightInd w:val="0"/>
              <w:spacing w:line="320" w:lineRule="atLeast"/>
              <w:ind w:left="60" w:right="60"/>
              <w:jc w:val="center"/>
              <w:rPr>
                <w:rFonts w:ascii="Arial" w:hAnsi="Arial" w:cs="Arial"/>
                <w:color w:val="010205"/>
                <w:sz w:val="22"/>
                <w:szCs w:val="22"/>
              </w:rPr>
            </w:pPr>
          </w:p>
        </w:tc>
      </w:tr>
      <w:tr w:rsidR="00112F64" w:rsidRPr="00112F64" w14:paraId="35A8FA6F" w14:textId="77777777" w:rsidTr="00226B80">
        <w:tc>
          <w:tcPr>
            <w:tcW w:w="1435" w:type="dxa"/>
          </w:tcPr>
          <w:p w14:paraId="31E1FC48" w14:textId="77777777" w:rsidR="00112F64" w:rsidRPr="00112F64" w:rsidRDefault="00112F64" w:rsidP="00226B80">
            <w:pPr>
              <w:autoSpaceDE w:val="0"/>
              <w:autoSpaceDN w:val="0"/>
              <w:adjustRightInd w:val="0"/>
              <w:jc w:val="center"/>
            </w:pPr>
          </w:p>
        </w:tc>
        <w:tc>
          <w:tcPr>
            <w:tcW w:w="1170" w:type="dxa"/>
          </w:tcPr>
          <w:p w14:paraId="45983072"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N</w:t>
            </w:r>
          </w:p>
        </w:tc>
        <w:tc>
          <w:tcPr>
            <w:tcW w:w="2520" w:type="dxa"/>
          </w:tcPr>
          <w:p w14:paraId="7A875A88"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w:t>
            </w:r>
          </w:p>
        </w:tc>
      </w:tr>
      <w:tr w:rsidR="00112F64" w:rsidRPr="00112F64" w14:paraId="27F2B947" w14:textId="77777777" w:rsidTr="00226B80">
        <w:tc>
          <w:tcPr>
            <w:tcW w:w="1435" w:type="dxa"/>
          </w:tcPr>
          <w:p w14:paraId="2E9C44E0"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107</w:t>
            </w:r>
          </w:p>
        </w:tc>
        <w:tc>
          <w:tcPr>
            <w:tcW w:w="1170" w:type="dxa"/>
          </w:tcPr>
          <w:p w14:paraId="3C0B02F7"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0D7DA369"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5C49CA63" w14:textId="77777777" w:rsidTr="00226B80">
        <w:tc>
          <w:tcPr>
            <w:tcW w:w="1435" w:type="dxa"/>
          </w:tcPr>
          <w:p w14:paraId="25BAB33C"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131</w:t>
            </w:r>
          </w:p>
        </w:tc>
        <w:tc>
          <w:tcPr>
            <w:tcW w:w="1170" w:type="dxa"/>
          </w:tcPr>
          <w:p w14:paraId="067AC17E"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2E5DB732"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2ADE3A15" w14:textId="77777777" w:rsidTr="00226B80">
        <w:tc>
          <w:tcPr>
            <w:tcW w:w="1435" w:type="dxa"/>
          </w:tcPr>
          <w:p w14:paraId="15E60DE9"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140</w:t>
            </w:r>
          </w:p>
        </w:tc>
        <w:tc>
          <w:tcPr>
            <w:tcW w:w="1170" w:type="dxa"/>
          </w:tcPr>
          <w:p w14:paraId="35B0643C"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2</w:t>
            </w:r>
          </w:p>
        </w:tc>
        <w:tc>
          <w:tcPr>
            <w:tcW w:w="2520" w:type="dxa"/>
          </w:tcPr>
          <w:p w14:paraId="4B021B4D"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18.2%</w:t>
            </w:r>
          </w:p>
        </w:tc>
      </w:tr>
      <w:tr w:rsidR="00112F64" w:rsidRPr="00112F64" w14:paraId="4B1F154D" w14:textId="77777777" w:rsidTr="00226B80">
        <w:tc>
          <w:tcPr>
            <w:tcW w:w="1435" w:type="dxa"/>
          </w:tcPr>
          <w:p w14:paraId="2A66FAB1"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144</w:t>
            </w:r>
          </w:p>
        </w:tc>
        <w:tc>
          <w:tcPr>
            <w:tcW w:w="1170" w:type="dxa"/>
          </w:tcPr>
          <w:p w14:paraId="4BAC2195"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25911D55"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742B62A0" w14:textId="77777777" w:rsidTr="00226B80">
        <w:tc>
          <w:tcPr>
            <w:tcW w:w="1435" w:type="dxa"/>
          </w:tcPr>
          <w:p w14:paraId="0281197F"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152</w:t>
            </w:r>
          </w:p>
        </w:tc>
        <w:tc>
          <w:tcPr>
            <w:tcW w:w="1170" w:type="dxa"/>
          </w:tcPr>
          <w:p w14:paraId="2DBBCD8B"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18C90E04"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53574B4F" w14:textId="77777777" w:rsidTr="00226B80">
        <w:tc>
          <w:tcPr>
            <w:tcW w:w="1435" w:type="dxa"/>
          </w:tcPr>
          <w:p w14:paraId="3F7396A7"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161</w:t>
            </w:r>
          </w:p>
        </w:tc>
        <w:tc>
          <w:tcPr>
            <w:tcW w:w="1170" w:type="dxa"/>
          </w:tcPr>
          <w:p w14:paraId="50674854"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254E992E"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6440B55F" w14:textId="77777777" w:rsidTr="00226B80">
        <w:tc>
          <w:tcPr>
            <w:tcW w:w="1435" w:type="dxa"/>
          </w:tcPr>
          <w:p w14:paraId="56F0E81F"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167</w:t>
            </w:r>
          </w:p>
        </w:tc>
        <w:tc>
          <w:tcPr>
            <w:tcW w:w="1170" w:type="dxa"/>
          </w:tcPr>
          <w:p w14:paraId="7305BF9B"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3E948F0D"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3AD13914" w14:textId="77777777" w:rsidTr="00226B80">
        <w:tc>
          <w:tcPr>
            <w:tcW w:w="1435" w:type="dxa"/>
          </w:tcPr>
          <w:p w14:paraId="217ADA93"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173</w:t>
            </w:r>
          </w:p>
        </w:tc>
        <w:tc>
          <w:tcPr>
            <w:tcW w:w="1170" w:type="dxa"/>
          </w:tcPr>
          <w:p w14:paraId="012003CF"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443EDDD6"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2CB69895" w14:textId="77777777" w:rsidTr="00226B80">
        <w:tc>
          <w:tcPr>
            <w:tcW w:w="1435" w:type="dxa"/>
          </w:tcPr>
          <w:p w14:paraId="07878D82"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175</w:t>
            </w:r>
          </w:p>
        </w:tc>
        <w:tc>
          <w:tcPr>
            <w:tcW w:w="1170" w:type="dxa"/>
          </w:tcPr>
          <w:p w14:paraId="764C7483"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6E1EBFF2"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r w:rsidR="00112F64" w:rsidRPr="00112F64" w14:paraId="5ED8EAE2" w14:textId="77777777" w:rsidTr="00226B80">
        <w:tc>
          <w:tcPr>
            <w:tcW w:w="1435" w:type="dxa"/>
          </w:tcPr>
          <w:p w14:paraId="740854BB"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264A60"/>
                <w:sz w:val="18"/>
                <w:szCs w:val="18"/>
              </w:rPr>
            </w:pPr>
            <w:r w:rsidRPr="00112F64">
              <w:rPr>
                <w:rFonts w:ascii="Arial" w:hAnsi="Arial" w:cs="Arial"/>
                <w:color w:val="264A60"/>
                <w:sz w:val="18"/>
                <w:szCs w:val="18"/>
              </w:rPr>
              <w:t>1490</w:t>
            </w:r>
          </w:p>
        </w:tc>
        <w:tc>
          <w:tcPr>
            <w:tcW w:w="1170" w:type="dxa"/>
          </w:tcPr>
          <w:p w14:paraId="7EA78A82"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1</w:t>
            </w:r>
          </w:p>
        </w:tc>
        <w:tc>
          <w:tcPr>
            <w:tcW w:w="2520" w:type="dxa"/>
          </w:tcPr>
          <w:p w14:paraId="7C7991BD" w14:textId="77777777" w:rsidR="00112F64" w:rsidRPr="00112F64" w:rsidRDefault="00112F64" w:rsidP="00226B80">
            <w:pPr>
              <w:autoSpaceDE w:val="0"/>
              <w:autoSpaceDN w:val="0"/>
              <w:adjustRightInd w:val="0"/>
              <w:spacing w:line="320" w:lineRule="atLeast"/>
              <w:ind w:left="60" w:right="60"/>
              <w:jc w:val="center"/>
              <w:rPr>
                <w:rFonts w:ascii="Arial" w:hAnsi="Arial" w:cs="Arial"/>
                <w:color w:val="010205"/>
                <w:sz w:val="18"/>
                <w:szCs w:val="18"/>
              </w:rPr>
            </w:pPr>
            <w:r w:rsidRPr="00112F64">
              <w:rPr>
                <w:rFonts w:ascii="Arial" w:hAnsi="Arial" w:cs="Arial"/>
                <w:color w:val="010205"/>
                <w:sz w:val="18"/>
                <w:szCs w:val="18"/>
              </w:rPr>
              <w:t>9.1%</w:t>
            </w:r>
          </w:p>
        </w:tc>
      </w:tr>
    </w:tbl>
    <w:p w14:paraId="42B7B73E" w14:textId="77777777" w:rsidR="00112F64" w:rsidRPr="00112F64" w:rsidRDefault="00112F64" w:rsidP="002B358B">
      <w:pPr>
        <w:autoSpaceDE w:val="0"/>
        <w:autoSpaceDN w:val="0"/>
        <w:adjustRightInd w:val="0"/>
        <w:spacing w:line="400" w:lineRule="atLeast"/>
        <w:jc w:val="both"/>
      </w:pPr>
    </w:p>
    <w:p w14:paraId="4A449408" w14:textId="77777777" w:rsidR="00112F64" w:rsidRPr="00112F64" w:rsidRDefault="00112F64" w:rsidP="002B358B">
      <w:pPr>
        <w:spacing w:line="360" w:lineRule="auto"/>
        <w:jc w:val="both"/>
        <w:rPr>
          <w:b/>
          <w:bCs/>
          <w:highlight w:val="yellow"/>
        </w:rPr>
      </w:pPr>
    </w:p>
    <w:p w14:paraId="43EFDE02" w14:textId="77777777" w:rsidR="00112F64" w:rsidRPr="00112F64" w:rsidRDefault="00112F64" w:rsidP="00226B80">
      <w:pPr>
        <w:spacing w:line="360" w:lineRule="auto"/>
        <w:jc w:val="center"/>
        <w:rPr>
          <w:b/>
          <w:bCs/>
          <w:highlight w:val="yellow"/>
        </w:rPr>
      </w:pPr>
      <w:r w:rsidRPr="00112F64">
        <w:rPr>
          <w:noProof/>
        </w:rPr>
        <w:lastRenderedPageBreak/>
        <w:drawing>
          <wp:inline distT="0" distB="0" distL="0" distR="0" wp14:anchorId="310B8738" wp14:editId="4E5E5BBF">
            <wp:extent cx="3805555" cy="2667000"/>
            <wp:effectExtent l="0" t="0" r="4445" b="0"/>
            <wp:docPr id="1060729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05555" cy="2667000"/>
                    </a:xfrm>
                    <a:prstGeom prst="rect">
                      <a:avLst/>
                    </a:prstGeom>
                    <a:noFill/>
                    <a:ln>
                      <a:noFill/>
                    </a:ln>
                  </pic:spPr>
                </pic:pic>
              </a:graphicData>
            </a:graphic>
          </wp:inline>
        </w:drawing>
      </w:r>
    </w:p>
    <w:p w14:paraId="187D3EF5" w14:textId="14F27E6A" w:rsidR="00AF597D" w:rsidRPr="00226B80" w:rsidRDefault="00542FA1" w:rsidP="002B358B">
      <w:pPr>
        <w:spacing w:line="360" w:lineRule="auto"/>
        <w:jc w:val="both"/>
        <w:rPr>
          <w:b/>
          <w:bCs/>
        </w:rPr>
      </w:pPr>
      <w:r w:rsidRPr="00226B80">
        <w:rPr>
          <w:b/>
          <w:bCs/>
        </w:rPr>
        <w:t>Figure 4.5 Commercial fires</w:t>
      </w:r>
    </w:p>
    <w:p w14:paraId="6424CA2A" w14:textId="77777777" w:rsidR="00112F64" w:rsidRPr="00112F64" w:rsidRDefault="00112F64" w:rsidP="002B358B">
      <w:pPr>
        <w:pStyle w:val="Heading3"/>
        <w:jc w:val="both"/>
      </w:pPr>
      <w:bookmarkStart w:id="92" w:name="_Toc215652921"/>
      <w:r w:rsidRPr="00112F64">
        <w:t>4.3.5 Grass Fires</w:t>
      </w:r>
      <w:bookmarkEnd w:id="92"/>
    </w:p>
    <w:p w14:paraId="726CAC7C" w14:textId="77777777" w:rsidR="00112F64" w:rsidRPr="00112F64" w:rsidRDefault="00112F64" w:rsidP="002B358B">
      <w:pPr>
        <w:spacing w:line="360" w:lineRule="auto"/>
        <w:jc w:val="both"/>
      </w:pPr>
      <w:r w:rsidRPr="00112F64">
        <w:t xml:space="preserve">The table below shows grass fire incidents grouped by the number of fires per incident, totaling 10 fires across all entries, with percentages indicating each group’s share of the total.   Most incidents involve a single fire (about 9.1% each for several single-fire entries), while incidents with two fires account for about 18.2%, roughly double a single-fire percentage.  </w:t>
      </w:r>
    </w:p>
    <w:p w14:paraId="61824594" w14:textId="578F20C4" w:rsidR="00AF597D" w:rsidRPr="00226B80" w:rsidRDefault="00112F64" w:rsidP="002B358B">
      <w:pPr>
        <w:autoSpaceDE w:val="0"/>
        <w:autoSpaceDN w:val="0"/>
        <w:adjustRightInd w:val="0"/>
        <w:jc w:val="both"/>
        <w:rPr>
          <w:b/>
          <w:bCs/>
        </w:rPr>
      </w:pPr>
      <w:r w:rsidRPr="00226B80">
        <w:rPr>
          <w:b/>
          <w:bCs/>
        </w:rPr>
        <w:t xml:space="preserve"> Table 4.8</w:t>
      </w:r>
      <w:r w:rsidR="00542FA1" w:rsidRPr="00226B80">
        <w:rPr>
          <w:b/>
          <w:bCs/>
        </w:rPr>
        <w:t xml:space="preserve"> Grass fires</w:t>
      </w:r>
    </w:p>
    <w:tbl>
      <w:tblPr>
        <w:tblStyle w:val="TableGrid"/>
        <w:tblW w:w="5665" w:type="dxa"/>
        <w:tblLayout w:type="fixed"/>
        <w:tblLook w:val="0000" w:firstRow="0" w:lastRow="0" w:firstColumn="0" w:lastColumn="0" w:noHBand="0" w:noVBand="0"/>
      </w:tblPr>
      <w:tblGrid>
        <w:gridCol w:w="1525"/>
        <w:gridCol w:w="1800"/>
        <w:gridCol w:w="2340"/>
      </w:tblGrid>
      <w:tr w:rsidR="00112F64" w:rsidRPr="00112F64" w14:paraId="4F359C24" w14:textId="77777777" w:rsidTr="00226B80">
        <w:tc>
          <w:tcPr>
            <w:tcW w:w="5665" w:type="dxa"/>
            <w:gridSpan w:val="3"/>
          </w:tcPr>
          <w:p w14:paraId="08AF7C06" w14:textId="15822BE3" w:rsidR="00112F64" w:rsidRPr="00112F64" w:rsidRDefault="00112F64" w:rsidP="002B358B">
            <w:pPr>
              <w:autoSpaceDE w:val="0"/>
              <w:autoSpaceDN w:val="0"/>
              <w:adjustRightInd w:val="0"/>
              <w:spacing w:line="320" w:lineRule="atLeast"/>
              <w:ind w:left="60" w:right="60"/>
              <w:jc w:val="both"/>
              <w:rPr>
                <w:rFonts w:ascii="Arial" w:hAnsi="Arial" w:cs="Arial"/>
                <w:color w:val="010205"/>
                <w:sz w:val="22"/>
                <w:szCs w:val="22"/>
              </w:rPr>
            </w:pPr>
          </w:p>
        </w:tc>
      </w:tr>
      <w:tr w:rsidR="00112F64" w:rsidRPr="00112F64" w14:paraId="5FFC4CFD" w14:textId="77777777" w:rsidTr="00226B80">
        <w:tc>
          <w:tcPr>
            <w:tcW w:w="1525" w:type="dxa"/>
          </w:tcPr>
          <w:p w14:paraId="56B3E020" w14:textId="77777777" w:rsidR="00112F64" w:rsidRPr="00112F64" w:rsidRDefault="00112F64" w:rsidP="002B358B">
            <w:pPr>
              <w:autoSpaceDE w:val="0"/>
              <w:autoSpaceDN w:val="0"/>
              <w:adjustRightInd w:val="0"/>
              <w:jc w:val="both"/>
            </w:pPr>
          </w:p>
        </w:tc>
        <w:tc>
          <w:tcPr>
            <w:tcW w:w="1800" w:type="dxa"/>
          </w:tcPr>
          <w:p w14:paraId="4DAA1DA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N</w:t>
            </w:r>
          </w:p>
        </w:tc>
        <w:tc>
          <w:tcPr>
            <w:tcW w:w="2340" w:type="dxa"/>
          </w:tcPr>
          <w:p w14:paraId="1240EE22"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w:t>
            </w:r>
          </w:p>
        </w:tc>
      </w:tr>
      <w:tr w:rsidR="00112F64" w:rsidRPr="00112F64" w14:paraId="5BE5727F" w14:textId="77777777" w:rsidTr="00226B80">
        <w:tc>
          <w:tcPr>
            <w:tcW w:w="1525" w:type="dxa"/>
          </w:tcPr>
          <w:p w14:paraId="6D22806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153</w:t>
            </w:r>
          </w:p>
        </w:tc>
        <w:tc>
          <w:tcPr>
            <w:tcW w:w="1800" w:type="dxa"/>
          </w:tcPr>
          <w:p w14:paraId="5FA5620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66AED31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70CD5070" w14:textId="77777777" w:rsidTr="00226B80">
        <w:tc>
          <w:tcPr>
            <w:tcW w:w="1525" w:type="dxa"/>
          </w:tcPr>
          <w:p w14:paraId="0C665B1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161</w:t>
            </w:r>
          </w:p>
        </w:tc>
        <w:tc>
          <w:tcPr>
            <w:tcW w:w="1800" w:type="dxa"/>
          </w:tcPr>
          <w:p w14:paraId="4DC22D5E"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2D53541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1F6B6B46" w14:textId="77777777" w:rsidTr="00226B80">
        <w:tc>
          <w:tcPr>
            <w:tcW w:w="1525" w:type="dxa"/>
          </w:tcPr>
          <w:p w14:paraId="0F93DC5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175</w:t>
            </w:r>
          </w:p>
        </w:tc>
        <w:tc>
          <w:tcPr>
            <w:tcW w:w="1800" w:type="dxa"/>
          </w:tcPr>
          <w:p w14:paraId="3678AEA0"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4ED012B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2EE80699" w14:textId="77777777" w:rsidTr="00226B80">
        <w:tc>
          <w:tcPr>
            <w:tcW w:w="1525" w:type="dxa"/>
          </w:tcPr>
          <w:p w14:paraId="76FF200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177</w:t>
            </w:r>
          </w:p>
        </w:tc>
        <w:tc>
          <w:tcPr>
            <w:tcW w:w="1800" w:type="dxa"/>
          </w:tcPr>
          <w:p w14:paraId="347C0D2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1611409A"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415590D0" w14:textId="77777777" w:rsidTr="00226B80">
        <w:tc>
          <w:tcPr>
            <w:tcW w:w="1525" w:type="dxa"/>
          </w:tcPr>
          <w:p w14:paraId="1651ED55"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178</w:t>
            </w:r>
          </w:p>
        </w:tc>
        <w:tc>
          <w:tcPr>
            <w:tcW w:w="1800" w:type="dxa"/>
          </w:tcPr>
          <w:p w14:paraId="600A8FDF"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103E4E7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50C8AF92" w14:textId="77777777" w:rsidTr="00226B80">
        <w:tc>
          <w:tcPr>
            <w:tcW w:w="1525" w:type="dxa"/>
          </w:tcPr>
          <w:p w14:paraId="0AA14406"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182</w:t>
            </w:r>
          </w:p>
        </w:tc>
        <w:tc>
          <w:tcPr>
            <w:tcW w:w="1800" w:type="dxa"/>
          </w:tcPr>
          <w:p w14:paraId="67BB4017"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1596AF1D"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2ED241B2" w14:textId="77777777" w:rsidTr="00226B80">
        <w:tc>
          <w:tcPr>
            <w:tcW w:w="1525" w:type="dxa"/>
          </w:tcPr>
          <w:p w14:paraId="3E044B2E"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194</w:t>
            </w:r>
          </w:p>
        </w:tc>
        <w:tc>
          <w:tcPr>
            <w:tcW w:w="1800" w:type="dxa"/>
          </w:tcPr>
          <w:p w14:paraId="45C50711"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2</w:t>
            </w:r>
          </w:p>
        </w:tc>
        <w:tc>
          <w:tcPr>
            <w:tcW w:w="2340" w:type="dxa"/>
          </w:tcPr>
          <w:p w14:paraId="32ACEB7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18.2%</w:t>
            </w:r>
          </w:p>
        </w:tc>
      </w:tr>
      <w:tr w:rsidR="00112F64" w:rsidRPr="00112F64" w14:paraId="2F9EAEA2" w14:textId="77777777" w:rsidTr="00226B80">
        <w:tc>
          <w:tcPr>
            <w:tcW w:w="1525" w:type="dxa"/>
          </w:tcPr>
          <w:p w14:paraId="532F211B"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224</w:t>
            </w:r>
          </w:p>
        </w:tc>
        <w:tc>
          <w:tcPr>
            <w:tcW w:w="1800" w:type="dxa"/>
          </w:tcPr>
          <w:p w14:paraId="5215E1AC"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2C7F6DA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40530831" w14:textId="77777777" w:rsidTr="00226B80">
        <w:tc>
          <w:tcPr>
            <w:tcW w:w="1525" w:type="dxa"/>
          </w:tcPr>
          <w:p w14:paraId="759E463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241</w:t>
            </w:r>
          </w:p>
        </w:tc>
        <w:tc>
          <w:tcPr>
            <w:tcW w:w="1800" w:type="dxa"/>
          </w:tcPr>
          <w:p w14:paraId="53F8326C"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73B34B0C"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r w:rsidR="00112F64" w:rsidRPr="00112F64" w14:paraId="241A7410" w14:textId="77777777" w:rsidTr="00226B80">
        <w:tc>
          <w:tcPr>
            <w:tcW w:w="1525" w:type="dxa"/>
          </w:tcPr>
          <w:p w14:paraId="4C6E0AF4"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264A60"/>
                <w:sz w:val="18"/>
                <w:szCs w:val="18"/>
              </w:rPr>
            </w:pPr>
            <w:r w:rsidRPr="00112F64">
              <w:rPr>
                <w:rFonts w:ascii="Arial" w:hAnsi="Arial" w:cs="Arial"/>
                <w:color w:val="264A60"/>
                <w:sz w:val="18"/>
                <w:szCs w:val="18"/>
              </w:rPr>
              <w:t>1879</w:t>
            </w:r>
          </w:p>
        </w:tc>
        <w:tc>
          <w:tcPr>
            <w:tcW w:w="1800" w:type="dxa"/>
          </w:tcPr>
          <w:p w14:paraId="34A71399"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1</w:t>
            </w:r>
          </w:p>
        </w:tc>
        <w:tc>
          <w:tcPr>
            <w:tcW w:w="2340" w:type="dxa"/>
          </w:tcPr>
          <w:p w14:paraId="08A7B013" w14:textId="77777777" w:rsidR="00112F64" w:rsidRPr="00112F64" w:rsidRDefault="00112F64" w:rsidP="002B358B">
            <w:pPr>
              <w:autoSpaceDE w:val="0"/>
              <w:autoSpaceDN w:val="0"/>
              <w:adjustRightInd w:val="0"/>
              <w:spacing w:line="320" w:lineRule="atLeast"/>
              <w:ind w:left="60" w:right="60"/>
              <w:jc w:val="both"/>
              <w:rPr>
                <w:rFonts w:ascii="Arial" w:hAnsi="Arial" w:cs="Arial"/>
                <w:color w:val="010205"/>
                <w:sz w:val="18"/>
                <w:szCs w:val="18"/>
              </w:rPr>
            </w:pPr>
            <w:r w:rsidRPr="00112F64">
              <w:rPr>
                <w:rFonts w:ascii="Arial" w:hAnsi="Arial" w:cs="Arial"/>
                <w:color w:val="010205"/>
                <w:sz w:val="18"/>
                <w:szCs w:val="18"/>
              </w:rPr>
              <w:t>9.1%</w:t>
            </w:r>
          </w:p>
        </w:tc>
      </w:tr>
    </w:tbl>
    <w:p w14:paraId="25E35544" w14:textId="77777777" w:rsidR="00112F64" w:rsidRPr="00112F64" w:rsidRDefault="00112F64" w:rsidP="002B358B">
      <w:pPr>
        <w:autoSpaceDE w:val="0"/>
        <w:autoSpaceDN w:val="0"/>
        <w:adjustRightInd w:val="0"/>
        <w:spacing w:line="400" w:lineRule="atLeast"/>
        <w:jc w:val="both"/>
      </w:pPr>
    </w:p>
    <w:p w14:paraId="1D4AE82C" w14:textId="77777777" w:rsidR="00112F64" w:rsidRPr="00112F64" w:rsidRDefault="00112F64" w:rsidP="002B358B">
      <w:pPr>
        <w:spacing w:line="360" w:lineRule="auto"/>
        <w:jc w:val="both"/>
        <w:rPr>
          <w:highlight w:val="yellow"/>
        </w:rPr>
      </w:pPr>
    </w:p>
    <w:p w14:paraId="5DB9AAFC" w14:textId="77777777" w:rsidR="00112F64" w:rsidRPr="00112F64" w:rsidRDefault="00112F64" w:rsidP="002B358B">
      <w:pPr>
        <w:spacing w:line="360" w:lineRule="auto"/>
        <w:jc w:val="both"/>
        <w:rPr>
          <w:highlight w:val="yellow"/>
        </w:rPr>
      </w:pPr>
    </w:p>
    <w:p w14:paraId="03CF5432" w14:textId="77777777" w:rsidR="00112F64" w:rsidRPr="00112F64" w:rsidRDefault="00112F64" w:rsidP="002B358B">
      <w:pPr>
        <w:spacing w:line="360" w:lineRule="auto"/>
        <w:jc w:val="both"/>
        <w:rPr>
          <w:b/>
          <w:bCs/>
          <w:highlight w:val="yellow"/>
        </w:rPr>
      </w:pPr>
      <w:r w:rsidRPr="00112F64">
        <w:rPr>
          <w:noProof/>
          <w:highlight w:val="yellow"/>
        </w:rPr>
        <w:lastRenderedPageBreak/>
        <w:drawing>
          <wp:anchor distT="0" distB="0" distL="114300" distR="114300" simplePos="0" relativeHeight="251673600" behindDoc="0" locked="0" layoutInCell="1" allowOverlap="1" wp14:anchorId="54811B39" wp14:editId="144F08B5">
            <wp:simplePos x="0" y="0"/>
            <wp:positionH relativeFrom="margin">
              <wp:align>left</wp:align>
            </wp:positionH>
            <wp:positionV relativeFrom="paragraph">
              <wp:posOffset>0</wp:posOffset>
            </wp:positionV>
            <wp:extent cx="4749800" cy="2940050"/>
            <wp:effectExtent l="0" t="0" r="0" b="0"/>
            <wp:wrapThrough wrapText="bothSides">
              <wp:wrapPolygon edited="0">
                <wp:start x="0" y="0"/>
                <wp:lineTo x="0" y="21413"/>
                <wp:lineTo x="21484" y="21413"/>
                <wp:lineTo x="21484" y="0"/>
                <wp:lineTo x="0" y="0"/>
              </wp:wrapPolygon>
            </wp:wrapThrough>
            <wp:docPr id="14012938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9800" cy="2940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DAC93" w14:textId="77777777" w:rsidR="00112F64" w:rsidRPr="00112F64" w:rsidRDefault="00112F64" w:rsidP="002B358B">
      <w:pPr>
        <w:spacing w:line="360" w:lineRule="auto"/>
        <w:jc w:val="both"/>
        <w:rPr>
          <w:b/>
          <w:bCs/>
          <w:highlight w:val="yellow"/>
        </w:rPr>
      </w:pPr>
    </w:p>
    <w:p w14:paraId="2A3255E6" w14:textId="77777777" w:rsidR="00112F64" w:rsidRPr="00112F64" w:rsidRDefault="00112F64" w:rsidP="002B358B">
      <w:pPr>
        <w:spacing w:line="360" w:lineRule="auto"/>
        <w:jc w:val="both"/>
        <w:rPr>
          <w:b/>
          <w:bCs/>
          <w:highlight w:val="yellow"/>
        </w:rPr>
      </w:pPr>
    </w:p>
    <w:p w14:paraId="681631DE" w14:textId="77777777" w:rsidR="00112F64" w:rsidRPr="00112F64" w:rsidRDefault="00112F64" w:rsidP="002B358B">
      <w:pPr>
        <w:spacing w:line="360" w:lineRule="auto"/>
        <w:jc w:val="both"/>
        <w:rPr>
          <w:b/>
          <w:bCs/>
          <w:highlight w:val="yellow"/>
        </w:rPr>
      </w:pPr>
    </w:p>
    <w:p w14:paraId="3683FF45" w14:textId="77777777" w:rsidR="00112F64" w:rsidRPr="00112F64" w:rsidRDefault="00112F64" w:rsidP="002B358B">
      <w:pPr>
        <w:spacing w:line="360" w:lineRule="auto"/>
        <w:jc w:val="both"/>
        <w:rPr>
          <w:b/>
          <w:bCs/>
          <w:highlight w:val="yellow"/>
        </w:rPr>
      </w:pPr>
    </w:p>
    <w:p w14:paraId="00E4C9F2" w14:textId="77777777" w:rsidR="00112F64" w:rsidRPr="00112F64" w:rsidRDefault="00112F64" w:rsidP="002B358B">
      <w:pPr>
        <w:spacing w:line="360" w:lineRule="auto"/>
        <w:jc w:val="both"/>
        <w:rPr>
          <w:b/>
          <w:bCs/>
          <w:highlight w:val="yellow"/>
        </w:rPr>
      </w:pPr>
    </w:p>
    <w:p w14:paraId="6423EE27" w14:textId="77777777" w:rsidR="00112F64" w:rsidRPr="00112F64" w:rsidRDefault="00112F64" w:rsidP="002B358B">
      <w:pPr>
        <w:spacing w:line="360" w:lineRule="auto"/>
        <w:jc w:val="both"/>
        <w:rPr>
          <w:b/>
          <w:bCs/>
          <w:highlight w:val="yellow"/>
        </w:rPr>
      </w:pPr>
    </w:p>
    <w:p w14:paraId="51743293" w14:textId="6921C4FD" w:rsidR="00112F64" w:rsidRDefault="00112F64" w:rsidP="002B358B">
      <w:pPr>
        <w:spacing w:line="360" w:lineRule="auto"/>
        <w:jc w:val="both"/>
        <w:rPr>
          <w:b/>
          <w:bCs/>
          <w:highlight w:val="yellow"/>
        </w:rPr>
      </w:pPr>
    </w:p>
    <w:p w14:paraId="4AAA1876" w14:textId="77777777" w:rsidR="00542FA1" w:rsidRDefault="00542FA1" w:rsidP="002B358B">
      <w:pPr>
        <w:spacing w:line="360" w:lineRule="auto"/>
        <w:jc w:val="both"/>
        <w:rPr>
          <w:b/>
          <w:bCs/>
          <w:highlight w:val="yellow"/>
        </w:rPr>
      </w:pPr>
    </w:p>
    <w:p w14:paraId="4ADAB11A" w14:textId="77777777" w:rsidR="00226B80" w:rsidRDefault="00226B80" w:rsidP="002B358B">
      <w:pPr>
        <w:spacing w:line="360" w:lineRule="auto"/>
        <w:jc w:val="both"/>
        <w:rPr>
          <w:b/>
          <w:bCs/>
        </w:rPr>
      </w:pPr>
    </w:p>
    <w:p w14:paraId="274FDB87" w14:textId="77777777" w:rsidR="00226B80" w:rsidRDefault="00226B80" w:rsidP="002B358B">
      <w:pPr>
        <w:spacing w:line="360" w:lineRule="auto"/>
        <w:jc w:val="both"/>
        <w:rPr>
          <w:b/>
          <w:bCs/>
        </w:rPr>
      </w:pPr>
    </w:p>
    <w:p w14:paraId="123A3891" w14:textId="77777777" w:rsidR="00226B80" w:rsidRDefault="00226B80" w:rsidP="002B358B">
      <w:pPr>
        <w:spacing w:line="360" w:lineRule="auto"/>
        <w:jc w:val="both"/>
        <w:rPr>
          <w:b/>
          <w:bCs/>
        </w:rPr>
      </w:pPr>
    </w:p>
    <w:p w14:paraId="71C4FFA0" w14:textId="3DA58709" w:rsidR="00112F64" w:rsidRPr="00AF597D" w:rsidRDefault="00542FA1" w:rsidP="002B358B">
      <w:pPr>
        <w:spacing w:line="360" w:lineRule="auto"/>
        <w:jc w:val="both"/>
        <w:rPr>
          <w:b/>
          <w:bCs/>
        </w:rPr>
      </w:pPr>
      <w:r>
        <w:rPr>
          <w:b/>
          <w:bCs/>
        </w:rPr>
        <w:t>Figure 4.6</w:t>
      </w:r>
      <w:r w:rsidRPr="00542FA1">
        <w:rPr>
          <w:b/>
          <w:bCs/>
        </w:rPr>
        <w:t xml:space="preserve"> </w:t>
      </w:r>
      <w:r>
        <w:rPr>
          <w:b/>
          <w:bCs/>
        </w:rPr>
        <w:t>Grass fire</w:t>
      </w:r>
    </w:p>
    <w:p w14:paraId="2D8F8F3E" w14:textId="77777777" w:rsidR="00112F64" w:rsidRPr="00112F64" w:rsidRDefault="00112F64" w:rsidP="002B358B">
      <w:pPr>
        <w:pStyle w:val="Heading3"/>
        <w:jc w:val="both"/>
        <w:rPr>
          <w:highlight w:val="yellow"/>
        </w:rPr>
      </w:pPr>
    </w:p>
    <w:p w14:paraId="77770993" w14:textId="77777777" w:rsidR="00112F64" w:rsidRPr="00112F64" w:rsidRDefault="00112F64" w:rsidP="002B358B">
      <w:pPr>
        <w:pStyle w:val="Heading3"/>
        <w:jc w:val="both"/>
      </w:pPr>
      <w:bookmarkStart w:id="93" w:name="_Toc215652922"/>
      <w:r w:rsidRPr="00112F64">
        <w:t>4.3.6 Dumpsite Fires</w:t>
      </w:r>
      <w:bookmarkEnd w:id="93"/>
    </w:p>
    <w:p w14:paraId="2CB73441" w14:textId="77777777" w:rsidR="00112F64" w:rsidRPr="00112F64" w:rsidRDefault="00112F64" w:rsidP="002B358B">
      <w:pPr>
        <w:spacing w:line="360" w:lineRule="auto"/>
        <w:jc w:val="both"/>
      </w:pPr>
      <w:r w:rsidRPr="00112F64">
        <w:t xml:space="preserve">The data shows a total of 10 rubbish fires, with percentages representing the share of fires for each N value; the most common counts are N=86 (27.3%) and N=69 (18.2%), while several other counts (0, 76, 83, 87, 109) each account for 9.1%. The distribution is skewed, clustering around N=86 and, to a lesser extent, N=69, indicating most incidents involve around these counts and fewer at other values. </w:t>
      </w:r>
    </w:p>
    <w:p w14:paraId="0B5C722A" w14:textId="77777777" w:rsidR="00112F64" w:rsidRPr="000E360F" w:rsidRDefault="00112F64" w:rsidP="002B358B">
      <w:pPr>
        <w:spacing w:line="360" w:lineRule="auto"/>
        <w:jc w:val="both"/>
        <w:rPr>
          <w:color w:val="000000" w:themeColor="text1"/>
        </w:rPr>
      </w:pPr>
    </w:p>
    <w:p w14:paraId="603826EB" w14:textId="453BEB80" w:rsidR="00542FA1" w:rsidRPr="00226B80" w:rsidRDefault="00112F64" w:rsidP="002B358B">
      <w:pPr>
        <w:spacing w:line="360" w:lineRule="auto"/>
        <w:jc w:val="both"/>
        <w:rPr>
          <w:b/>
          <w:bCs/>
          <w:color w:val="000000" w:themeColor="text1"/>
        </w:rPr>
      </w:pPr>
      <w:r w:rsidRPr="00226B80">
        <w:rPr>
          <w:b/>
          <w:bCs/>
          <w:color w:val="000000" w:themeColor="text1"/>
        </w:rPr>
        <w:t>Table 4.9</w:t>
      </w:r>
      <w:r w:rsidR="00542FA1" w:rsidRPr="00226B80">
        <w:rPr>
          <w:b/>
          <w:bCs/>
          <w:color w:val="000000" w:themeColor="text1"/>
        </w:rPr>
        <w:t xml:space="preserve"> Rubbish fires</w:t>
      </w:r>
    </w:p>
    <w:tbl>
      <w:tblPr>
        <w:tblStyle w:val="TableGrid"/>
        <w:tblW w:w="6205" w:type="dxa"/>
        <w:tblLayout w:type="fixed"/>
        <w:tblLook w:val="0000" w:firstRow="0" w:lastRow="0" w:firstColumn="0" w:lastColumn="0" w:noHBand="0" w:noVBand="0"/>
      </w:tblPr>
      <w:tblGrid>
        <w:gridCol w:w="2065"/>
        <w:gridCol w:w="1440"/>
        <w:gridCol w:w="2700"/>
      </w:tblGrid>
      <w:tr w:rsidR="00112F64" w:rsidRPr="000E360F" w14:paraId="67136BCC" w14:textId="77777777" w:rsidTr="00226B80">
        <w:tc>
          <w:tcPr>
            <w:tcW w:w="6205" w:type="dxa"/>
            <w:gridSpan w:val="3"/>
          </w:tcPr>
          <w:p w14:paraId="7E06D482" w14:textId="5D331836" w:rsidR="00112F64" w:rsidRPr="000E360F" w:rsidRDefault="00112F64" w:rsidP="002B358B">
            <w:pPr>
              <w:jc w:val="both"/>
              <w:rPr>
                <w:rFonts w:ascii="Arial" w:hAnsi="Arial" w:cs="Arial"/>
                <w:color w:val="000000" w:themeColor="text1"/>
                <w:sz w:val="22"/>
                <w:szCs w:val="22"/>
              </w:rPr>
            </w:pPr>
          </w:p>
        </w:tc>
      </w:tr>
      <w:tr w:rsidR="00112F64" w:rsidRPr="000E360F" w14:paraId="4EF47F07" w14:textId="77777777" w:rsidTr="00226B80">
        <w:tc>
          <w:tcPr>
            <w:tcW w:w="2065" w:type="dxa"/>
          </w:tcPr>
          <w:p w14:paraId="6F1B5297" w14:textId="77777777" w:rsidR="00112F64" w:rsidRPr="000E360F" w:rsidRDefault="00112F64" w:rsidP="002B358B">
            <w:pPr>
              <w:autoSpaceDE w:val="0"/>
              <w:autoSpaceDN w:val="0"/>
              <w:adjustRightInd w:val="0"/>
              <w:jc w:val="both"/>
              <w:rPr>
                <w:color w:val="000000" w:themeColor="text1"/>
              </w:rPr>
            </w:pPr>
          </w:p>
        </w:tc>
        <w:tc>
          <w:tcPr>
            <w:tcW w:w="1440" w:type="dxa"/>
          </w:tcPr>
          <w:p w14:paraId="063C50C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N</w:t>
            </w:r>
          </w:p>
        </w:tc>
        <w:tc>
          <w:tcPr>
            <w:tcW w:w="2700" w:type="dxa"/>
          </w:tcPr>
          <w:p w14:paraId="52F2FD8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w:t>
            </w:r>
          </w:p>
        </w:tc>
      </w:tr>
      <w:tr w:rsidR="00112F64" w:rsidRPr="000E360F" w14:paraId="300D367F" w14:textId="77777777" w:rsidTr="00226B80">
        <w:tc>
          <w:tcPr>
            <w:tcW w:w="2065" w:type="dxa"/>
          </w:tcPr>
          <w:p w14:paraId="14BA13BA"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0</w:t>
            </w:r>
          </w:p>
        </w:tc>
        <w:tc>
          <w:tcPr>
            <w:tcW w:w="1440" w:type="dxa"/>
          </w:tcPr>
          <w:p w14:paraId="4193746D"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50E659BB"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4F8B67E8" w14:textId="77777777" w:rsidTr="00226B80">
        <w:tc>
          <w:tcPr>
            <w:tcW w:w="2065" w:type="dxa"/>
          </w:tcPr>
          <w:p w14:paraId="05F07EA2"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69</w:t>
            </w:r>
          </w:p>
        </w:tc>
        <w:tc>
          <w:tcPr>
            <w:tcW w:w="1440" w:type="dxa"/>
          </w:tcPr>
          <w:p w14:paraId="7636ADD1"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w:t>
            </w:r>
          </w:p>
        </w:tc>
        <w:tc>
          <w:tcPr>
            <w:tcW w:w="2700" w:type="dxa"/>
          </w:tcPr>
          <w:p w14:paraId="2AB72822"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18.2%</w:t>
            </w:r>
          </w:p>
        </w:tc>
      </w:tr>
      <w:tr w:rsidR="00112F64" w:rsidRPr="000E360F" w14:paraId="54AF81AA" w14:textId="77777777" w:rsidTr="00226B80">
        <w:tc>
          <w:tcPr>
            <w:tcW w:w="2065" w:type="dxa"/>
          </w:tcPr>
          <w:p w14:paraId="321E1B0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76</w:t>
            </w:r>
          </w:p>
        </w:tc>
        <w:tc>
          <w:tcPr>
            <w:tcW w:w="1440" w:type="dxa"/>
          </w:tcPr>
          <w:p w14:paraId="47FFBD06"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39037515"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555CCE84" w14:textId="77777777" w:rsidTr="00226B80">
        <w:tc>
          <w:tcPr>
            <w:tcW w:w="2065" w:type="dxa"/>
          </w:tcPr>
          <w:p w14:paraId="6C0E4B32"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83</w:t>
            </w:r>
          </w:p>
        </w:tc>
        <w:tc>
          <w:tcPr>
            <w:tcW w:w="1440" w:type="dxa"/>
          </w:tcPr>
          <w:p w14:paraId="7B67A157"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51A5814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4B5D46EF" w14:textId="77777777" w:rsidTr="00226B80">
        <w:tc>
          <w:tcPr>
            <w:tcW w:w="2065" w:type="dxa"/>
          </w:tcPr>
          <w:p w14:paraId="646B7C5C"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86</w:t>
            </w:r>
          </w:p>
        </w:tc>
        <w:tc>
          <w:tcPr>
            <w:tcW w:w="1440" w:type="dxa"/>
          </w:tcPr>
          <w:p w14:paraId="0A8ED08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3</w:t>
            </w:r>
          </w:p>
        </w:tc>
        <w:tc>
          <w:tcPr>
            <w:tcW w:w="2700" w:type="dxa"/>
          </w:tcPr>
          <w:p w14:paraId="23E2B59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27.3%</w:t>
            </w:r>
          </w:p>
        </w:tc>
      </w:tr>
      <w:tr w:rsidR="00112F64" w:rsidRPr="000E360F" w14:paraId="0BF4DA85" w14:textId="77777777" w:rsidTr="00226B80">
        <w:tc>
          <w:tcPr>
            <w:tcW w:w="2065" w:type="dxa"/>
          </w:tcPr>
          <w:p w14:paraId="547719F0"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87</w:t>
            </w:r>
          </w:p>
        </w:tc>
        <w:tc>
          <w:tcPr>
            <w:tcW w:w="1440" w:type="dxa"/>
          </w:tcPr>
          <w:p w14:paraId="782AE13A"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200F747E"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209DD3C9" w14:textId="77777777" w:rsidTr="00226B80">
        <w:tc>
          <w:tcPr>
            <w:tcW w:w="2065" w:type="dxa"/>
          </w:tcPr>
          <w:p w14:paraId="4B6FE480"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109</w:t>
            </w:r>
          </w:p>
        </w:tc>
        <w:tc>
          <w:tcPr>
            <w:tcW w:w="1440" w:type="dxa"/>
          </w:tcPr>
          <w:p w14:paraId="1E9DE795"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2AC9F3E1"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579FD3E9" w14:textId="77777777" w:rsidTr="00226B80">
        <w:tc>
          <w:tcPr>
            <w:tcW w:w="2065" w:type="dxa"/>
          </w:tcPr>
          <w:p w14:paraId="61D27FB6"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751</w:t>
            </w:r>
          </w:p>
        </w:tc>
        <w:tc>
          <w:tcPr>
            <w:tcW w:w="1440" w:type="dxa"/>
          </w:tcPr>
          <w:p w14:paraId="637A641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700" w:type="dxa"/>
          </w:tcPr>
          <w:p w14:paraId="695E098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bl>
    <w:p w14:paraId="76CD6277" w14:textId="77777777" w:rsidR="00112F64" w:rsidRPr="000E360F" w:rsidRDefault="00112F64" w:rsidP="002B358B">
      <w:pPr>
        <w:spacing w:line="360" w:lineRule="auto"/>
        <w:jc w:val="both"/>
        <w:rPr>
          <w:color w:val="000000" w:themeColor="text1"/>
          <w:highlight w:val="yellow"/>
        </w:rPr>
      </w:pPr>
    </w:p>
    <w:p w14:paraId="40476671" w14:textId="77777777" w:rsidR="00112F64" w:rsidRPr="000E360F" w:rsidRDefault="00112F64" w:rsidP="002B358B">
      <w:pPr>
        <w:spacing w:line="360" w:lineRule="auto"/>
        <w:jc w:val="both"/>
        <w:rPr>
          <w:b/>
          <w:bCs/>
          <w:color w:val="000000" w:themeColor="text1"/>
          <w:highlight w:val="yellow"/>
        </w:rPr>
      </w:pPr>
    </w:p>
    <w:p w14:paraId="0E31D698" w14:textId="77777777" w:rsidR="00112F64" w:rsidRPr="000E360F" w:rsidRDefault="00112F64" w:rsidP="002B358B">
      <w:pPr>
        <w:spacing w:line="360" w:lineRule="auto"/>
        <w:jc w:val="both"/>
        <w:rPr>
          <w:b/>
          <w:bCs/>
          <w:color w:val="000000" w:themeColor="text1"/>
          <w:highlight w:val="yellow"/>
        </w:rPr>
      </w:pPr>
    </w:p>
    <w:p w14:paraId="559EF253" w14:textId="77777777" w:rsidR="00112F64" w:rsidRPr="000E360F" w:rsidRDefault="00112F64" w:rsidP="002B358B">
      <w:pPr>
        <w:spacing w:line="360" w:lineRule="auto"/>
        <w:jc w:val="both"/>
        <w:rPr>
          <w:b/>
          <w:bCs/>
          <w:color w:val="000000" w:themeColor="text1"/>
          <w:highlight w:val="yellow"/>
        </w:rPr>
      </w:pPr>
      <w:r w:rsidRPr="000E360F">
        <w:rPr>
          <w:noProof/>
          <w:color w:val="000000" w:themeColor="text1"/>
        </w:rPr>
        <w:drawing>
          <wp:inline distT="0" distB="0" distL="0" distR="0" wp14:anchorId="6EE9A992" wp14:editId="5626519D">
            <wp:extent cx="4704375" cy="2844800"/>
            <wp:effectExtent l="0" t="0" r="1270" b="0"/>
            <wp:docPr id="18464886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8510" cy="2847301"/>
                    </a:xfrm>
                    <a:prstGeom prst="rect">
                      <a:avLst/>
                    </a:prstGeom>
                    <a:noFill/>
                    <a:ln>
                      <a:noFill/>
                    </a:ln>
                  </pic:spPr>
                </pic:pic>
              </a:graphicData>
            </a:graphic>
          </wp:inline>
        </w:drawing>
      </w:r>
    </w:p>
    <w:p w14:paraId="3BED99BD" w14:textId="571F0ACB" w:rsidR="00542FA1" w:rsidRPr="00226B80" w:rsidRDefault="00542FA1" w:rsidP="002B358B">
      <w:pPr>
        <w:spacing w:line="360" w:lineRule="auto"/>
        <w:jc w:val="both"/>
        <w:rPr>
          <w:b/>
          <w:bCs/>
          <w:color w:val="000000" w:themeColor="text1"/>
        </w:rPr>
      </w:pPr>
      <w:r w:rsidRPr="00226B80">
        <w:rPr>
          <w:b/>
          <w:bCs/>
          <w:color w:val="000000" w:themeColor="text1"/>
        </w:rPr>
        <w:t>Figure 4.7 Rubbish fires</w:t>
      </w:r>
    </w:p>
    <w:p w14:paraId="5CEDF36C" w14:textId="77777777" w:rsidR="00AF597D" w:rsidRPr="000E360F" w:rsidRDefault="00AF597D" w:rsidP="002B358B">
      <w:pPr>
        <w:spacing w:line="360" w:lineRule="auto"/>
        <w:jc w:val="both"/>
        <w:rPr>
          <w:color w:val="000000" w:themeColor="text1"/>
          <w:highlight w:val="yellow"/>
        </w:rPr>
      </w:pPr>
    </w:p>
    <w:p w14:paraId="4DC34D3E" w14:textId="77777777" w:rsidR="00112F64" w:rsidRPr="000E360F" w:rsidRDefault="00112F64" w:rsidP="002B358B">
      <w:pPr>
        <w:pStyle w:val="Heading3"/>
        <w:jc w:val="both"/>
      </w:pPr>
      <w:bookmarkStart w:id="94" w:name="_Toc215652923"/>
      <w:r w:rsidRPr="000E360F">
        <w:t>4.3.7 Home Industry Fires</w:t>
      </w:r>
      <w:bookmarkEnd w:id="94"/>
    </w:p>
    <w:p w14:paraId="58771D5C" w14:textId="77777777" w:rsidR="00112F64" w:rsidRPr="000E360F" w:rsidRDefault="00112F64" w:rsidP="002B358B">
      <w:pPr>
        <w:spacing w:line="360" w:lineRule="auto"/>
        <w:jc w:val="both"/>
        <w:rPr>
          <w:color w:val="000000" w:themeColor="text1"/>
        </w:rPr>
      </w:pPr>
      <w:r w:rsidRPr="000E360F">
        <w:rPr>
          <w:color w:val="000000" w:themeColor="text1"/>
        </w:rPr>
        <w:t xml:space="preserve">The data show home industry fires with N values, where 12 and 13 occur most frequently (18.2% each) and the smaller values (2, 4, 5, 7, 11) are less frequent (9.1% each).  Most fires involve a moderate number of incidents, while higher N values (12, 13, 26) appear less often but contribute a substantial share of cases.  </w:t>
      </w:r>
    </w:p>
    <w:p w14:paraId="235FA28D" w14:textId="6528D653" w:rsidR="00542FA1" w:rsidRPr="00226B80" w:rsidRDefault="00112F64" w:rsidP="002B358B">
      <w:pPr>
        <w:autoSpaceDE w:val="0"/>
        <w:autoSpaceDN w:val="0"/>
        <w:adjustRightInd w:val="0"/>
        <w:jc w:val="both"/>
        <w:rPr>
          <w:b/>
          <w:bCs/>
          <w:color w:val="000000" w:themeColor="text1"/>
        </w:rPr>
      </w:pPr>
      <w:r w:rsidRPr="00226B80">
        <w:rPr>
          <w:b/>
          <w:bCs/>
          <w:color w:val="000000" w:themeColor="text1"/>
        </w:rPr>
        <w:t>Table 4.9</w:t>
      </w:r>
      <w:r w:rsidR="00542FA1" w:rsidRPr="00226B80">
        <w:rPr>
          <w:b/>
          <w:bCs/>
          <w:color w:val="000000" w:themeColor="text1"/>
        </w:rPr>
        <w:t xml:space="preserve"> Home industry fires</w:t>
      </w:r>
    </w:p>
    <w:p w14:paraId="6AB32C8E" w14:textId="77777777" w:rsidR="00AF597D" w:rsidRPr="000E360F" w:rsidRDefault="00AF597D" w:rsidP="002B358B">
      <w:pPr>
        <w:autoSpaceDE w:val="0"/>
        <w:autoSpaceDN w:val="0"/>
        <w:adjustRightInd w:val="0"/>
        <w:jc w:val="both"/>
        <w:rPr>
          <w:color w:val="000000" w:themeColor="text1"/>
        </w:rPr>
      </w:pPr>
    </w:p>
    <w:tbl>
      <w:tblPr>
        <w:tblStyle w:val="TableGrid"/>
        <w:tblW w:w="5125" w:type="dxa"/>
        <w:tblLayout w:type="fixed"/>
        <w:tblLook w:val="0000" w:firstRow="0" w:lastRow="0" w:firstColumn="0" w:lastColumn="0" w:noHBand="0" w:noVBand="0"/>
      </w:tblPr>
      <w:tblGrid>
        <w:gridCol w:w="1705"/>
        <w:gridCol w:w="1350"/>
        <w:gridCol w:w="2070"/>
      </w:tblGrid>
      <w:tr w:rsidR="00112F64" w:rsidRPr="000E360F" w14:paraId="7B32709A" w14:textId="77777777" w:rsidTr="00226B80">
        <w:tc>
          <w:tcPr>
            <w:tcW w:w="1705" w:type="dxa"/>
          </w:tcPr>
          <w:p w14:paraId="58869291" w14:textId="77777777" w:rsidR="00112F64" w:rsidRPr="000E360F" w:rsidRDefault="00112F64" w:rsidP="002B358B">
            <w:pPr>
              <w:autoSpaceDE w:val="0"/>
              <w:autoSpaceDN w:val="0"/>
              <w:adjustRightInd w:val="0"/>
              <w:jc w:val="both"/>
              <w:rPr>
                <w:color w:val="000000" w:themeColor="text1"/>
              </w:rPr>
            </w:pPr>
          </w:p>
        </w:tc>
        <w:tc>
          <w:tcPr>
            <w:tcW w:w="1350" w:type="dxa"/>
          </w:tcPr>
          <w:p w14:paraId="3DB1B9DD"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N</w:t>
            </w:r>
          </w:p>
        </w:tc>
        <w:tc>
          <w:tcPr>
            <w:tcW w:w="2070" w:type="dxa"/>
          </w:tcPr>
          <w:p w14:paraId="6634306B"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w:t>
            </w:r>
          </w:p>
        </w:tc>
      </w:tr>
      <w:tr w:rsidR="00112F64" w:rsidRPr="000E360F" w14:paraId="78672567" w14:textId="77777777" w:rsidTr="00226B80">
        <w:tc>
          <w:tcPr>
            <w:tcW w:w="1705" w:type="dxa"/>
          </w:tcPr>
          <w:p w14:paraId="5916CE30"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w:t>
            </w:r>
          </w:p>
        </w:tc>
        <w:tc>
          <w:tcPr>
            <w:tcW w:w="1350" w:type="dxa"/>
          </w:tcPr>
          <w:p w14:paraId="5AF0E63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66BCE9ED"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7A2C164D" w14:textId="77777777" w:rsidTr="00226B80">
        <w:tc>
          <w:tcPr>
            <w:tcW w:w="1705" w:type="dxa"/>
          </w:tcPr>
          <w:p w14:paraId="2812C75F"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4</w:t>
            </w:r>
          </w:p>
        </w:tc>
        <w:tc>
          <w:tcPr>
            <w:tcW w:w="1350" w:type="dxa"/>
          </w:tcPr>
          <w:p w14:paraId="7377512A"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4371A74D"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4DA30B57" w14:textId="77777777" w:rsidTr="00226B80">
        <w:tc>
          <w:tcPr>
            <w:tcW w:w="1705" w:type="dxa"/>
          </w:tcPr>
          <w:p w14:paraId="0860864E"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5</w:t>
            </w:r>
          </w:p>
        </w:tc>
        <w:tc>
          <w:tcPr>
            <w:tcW w:w="1350" w:type="dxa"/>
          </w:tcPr>
          <w:p w14:paraId="7A0D1B66"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63E119AE"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4E449F12" w14:textId="77777777" w:rsidTr="00226B80">
        <w:tc>
          <w:tcPr>
            <w:tcW w:w="1705" w:type="dxa"/>
          </w:tcPr>
          <w:p w14:paraId="02F6EE5D"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7</w:t>
            </w:r>
          </w:p>
        </w:tc>
        <w:tc>
          <w:tcPr>
            <w:tcW w:w="1350" w:type="dxa"/>
          </w:tcPr>
          <w:p w14:paraId="56230C86"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19A44701"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54B09BE3" w14:textId="77777777" w:rsidTr="00226B80">
        <w:tc>
          <w:tcPr>
            <w:tcW w:w="1705" w:type="dxa"/>
          </w:tcPr>
          <w:p w14:paraId="399747BC"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11</w:t>
            </w:r>
          </w:p>
        </w:tc>
        <w:tc>
          <w:tcPr>
            <w:tcW w:w="1350" w:type="dxa"/>
          </w:tcPr>
          <w:p w14:paraId="7BA7DB19"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718D4C2F"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2006E0DB" w14:textId="77777777" w:rsidTr="00226B80">
        <w:tc>
          <w:tcPr>
            <w:tcW w:w="1705" w:type="dxa"/>
          </w:tcPr>
          <w:p w14:paraId="16593433"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12</w:t>
            </w:r>
          </w:p>
        </w:tc>
        <w:tc>
          <w:tcPr>
            <w:tcW w:w="1350" w:type="dxa"/>
          </w:tcPr>
          <w:p w14:paraId="77344F1B"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w:t>
            </w:r>
          </w:p>
        </w:tc>
        <w:tc>
          <w:tcPr>
            <w:tcW w:w="2070" w:type="dxa"/>
          </w:tcPr>
          <w:p w14:paraId="2CCBC30F"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18.2%</w:t>
            </w:r>
          </w:p>
        </w:tc>
      </w:tr>
      <w:tr w:rsidR="00112F64" w:rsidRPr="000E360F" w14:paraId="597EF319" w14:textId="77777777" w:rsidTr="00226B80">
        <w:tc>
          <w:tcPr>
            <w:tcW w:w="1705" w:type="dxa"/>
          </w:tcPr>
          <w:p w14:paraId="42ECF332"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13</w:t>
            </w:r>
          </w:p>
        </w:tc>
        <w:tc>
          <w:tcPr>
            <w:tcW w:w="1350" w:type="dxa"/>
          </w:tcPr>
          <w:p w14:paraId="173AA380"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w:t>
            </w:r>
          </w:p>
        </w:tc>
        <w:tc>
          <w:tcPr>
            <w:tcW w:w="2070" w:type="dxa"/>
          </w:tcPr>
          <w:p w14:paraId="3F9F3347"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18.2%</w:t>
            </w:r>
          </w:p>
        </w:tc>
      </w:tr>
      <w:tr w:rsidR="00112F64" w:rsidRPr="000E360F" w14:paraId="5222487B" w14:textId="77777777" w:rsidTr="00226B80">
        <w:tc>
          <w:tcPr>
            <w:tcW w:w="1705" w:type="dxa"/>
          </w:tcPr>
          <w:p w14:paraId="7640EAC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26</w:t>
            </w:r>
          </w:p>
        </w:tc>
        <w:tc>
          <w:tcPr>
            <w:tcW w:w="1350" w:type="dxa"/>
          </w:tcPr>
          <w:p w14:paraId="337BFFA8"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370B9365"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r w:rsidR="00112F64" w:rsidRPr="000E360F" w14:paraId="20A39486" w14:textId="77777777" w:rsidTr="00226B80">
        <w:tc>
          <w:tcPr>
            <w:tcW w:w="1705" w:type="dxa"/>
          </w:tcPr>
          <w:p w14:paraId="084378C5"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105</w:t>
            </w:r>
          </w:p>
        </w:tc>
        <w:tc>
          <w:tcPr>
            <w:tcW w:w="1350" w:type="dxa"/>
          </w:tcPr>
          <w:p w14:paraId="1F7CC821"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1</w:t>
            </w:r>
          </w:p>
        </w:tc>
        <w:tc>
          <w:tcPr>
            <w:tcW w:w="2070" w:type="dxa"/>
          </w:tcPr>
          <w:p w14:paraId="11165410" w14:textId="77777777" w:rsidR="00112F64" w:rsidRPr="000E360F" w:rsidRDefault="00112F64" w:rsidP="002B358B">
            <w:pPr>
              <w:autoSpaceDE w:val="0"/>
              <w:autoSpaceDN w:val="0"/>
              <w:adjustRightInd w:val="0"/>
              <w:spacing w:line="320" w:lineRule="atLeast"/>
              <w:ind w:left="60" w:right="60"/>
              <w:jc w:val="both"/>
              <w:rPr>
                <w:rFonts w:ascii="Arial" w:hAnsi="Arial" w:cs="Arial"/>
                <w:color w:val="000000" w:themeColor="text1"/>
                <w:sz w:val="18"/>
                <w:szCs w:val="18"/>
              </w:rPr>
            </w:pPr>
            <w:r w:rsidRPr="000E360F">
              <w:rPr>
                <w:rFonts w:ascii="Arial" w:hAnsi="Arial" w:cs="Arial"/>
                <w:color w:val="000000" w:themeColor="text1"/>
                <w:sz w:val="18"/>
                <w:szCs w:val="18"/>
              </w:rPr>
              <w:t>9.1%</w:t>
            </w:r>
          </w:p>
        </w:tc>
      </w:tr>
    </w:tbl>
    <w:p w14:paraId="3E85A0B0" w14:textId="77777777" w:rsidR="00112F64" w:rsidRPr="000E360F" w:rsidRDefault="00112F64" w:rsidP="002B358B">
      <w:pPr>
        <w:autoSpaceDE w:val="0"/>
        <w:autoSpaceDN w:val="0"/>
        <w:adjustRightInd w:val="0"/>
        <w:spacing w:line="400" w:lineRule="atLeast"/>
        <w:jc w:val="both"/>
        <w:rPr>
          <w:color w:val="000000" w:themeColor="text1"/>
        </w:rPr>
      </w:pPr>
    </w:p>
    <w:p w14:paraId="277248C5" w14:textId="77777777" w:rsidR="00112F64" w:rsidRPr="000E360F" w:rsidRDefault="00112F64" w:rsidP="002B358B">
      <w:pPr>
        <w:spacing w:line="360" w:lineRule="auto"/>
        <w:jc w:val="both"/>
        <w:rPr>
          <w:color w:val="000000" w:themeColor="text1"/>
          <w:highlight w:val="yellow"/>
        </w:rPr>
      </w:pPr>
    </w:p>
    <w:p w14:paraId="50EE0FF0" w14:textId="77777777" w:rsidR="00112F64" w:rsidRPr="000E360F" w:rsidRDefault="00112F64" w:rsidP="002B358B">
      <w:pPr>
        <w:spacing w:line="360" w:lineRule="auto"/>
        <w:jc w:val="both"/>
        <w:rPr>
          <w:color w:val="000000" w:themeColor="text1"/>
          <w:highlight w:val="yellow"/>
        </w:rPr>
      </w:pPr>
      <w:r w:rsidRPr="00226B80">
        <w:rPr>
          <w:noProof/>
          <w:color w:val="000000" w:themeColor="text1"/>
          <w:bdr w:val="single" w:sz="8" w:space="0" w:color="auto"/>
        </w:rPr>
        <w:drawing>
          <wp:inline distT="0" distB="0" distL="0" distR="0" wp14:anchorId="50C49CE4" wp14:editId="40913B6D">
            <wp:extent cx="5162550" cy="2921000"/>
            <wp:effectExtent l="0" t="0" r="0" b="0"/>
            <wp:docPr id="12661009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63656" cy="2921626"/>
                    </a:xfrm>
                    <a:prstGeom prst="rect">
                      <a:avLst/>
                    </a:prstGeom>
                    <a:noFill/>
                    <a:ln>
                      <a:noFill/>
                    </a:ln>
                  </pic:spPr>
                </pic:pic>
              </a:graphicData>
            </a:graphic>
          </wp:inline>
        </w:drawing>
      </w:r>
    </w:p>
    <w:p w14:paraId="57E65675" w14:textId="1D7055D2" w:rsidR="00112F64" w:rsidRPr="00226B80" w:rsidRDefault="00542FA1" w:rsidP="002B358B">
      <w:pPr>
        <w:spacing w:line="360" w:lineRule="auto"/>
        <w:jc w:val="both"/>
        <w:rPr>
          <w:b/>
          <w:bCs/>
          <w:color w:val="000000" w:themeColor="text1"/>
        </w:rPr>
      </w:pPr>
      <w:r w:rsidRPr="00226B80">
        <w:rPr>
          <w:b/>
          <w:bCs/>
          <w:color w:val="000000" w:themeColor="text1"/>
        </w:rPr>
        <w:t>Figure 4.8 Home Industries fires</w:t>
      </w:r>
    </w:p>
    <w:p w14:paraId="3A8FB267" w14:textId="77777777" w:rsidR="00112F64" w:rsidRPr="000E360F" w:rsidRDefault="00112F64" w:rsidP="002B358B">
      <w:pPr>
        <w:spacing w:line="360" w:lineRule="auto"/>
        <w:jc w:val="both"/>
        <w:rPr>
          <w:color w:val="000000" w:themeColor="text1"/>
          <w:highlight w:val="yellow"/>
        </w:rPr>
      </w:pPr>
    </w:p>
    <w:p w14:paraId="0E258834" w14:textId="77777777" w:rsidR="008C788D" w:rsidRDefault="008C788D" w:rsidP="002B358B">
      <w:pPr>
        <w:spacing w:line="360" w:lineRule="auto"/>
        <w:jc w:val="both"/>
        <w:rPr>
          <w:rFonts w:eastAsia="Calibri"/>
          <w:b/>
          <w:bCs/>
        </w:rPr>
      </w:pPr>
    </w:p>
    <w:p w14:paraId="1DE8DCD6" w14:textId="2AE9B3AC" w:rsidR="00112F64" w:rsidRPr="00112F64" w:rsidRDefault="00112F64" w:rsidP="00394501">
      <w:pPr>
        <w:pStyle w:val="Heading2"/>
        <w:rPr>
          <w:rFonts w:eastAsia="Calibri"/>
        </w:rPr>
      </w:pPr>
      <w:bookmarkStart w:id="95" w:name="_Toc215652927"/>
      <w:r w:rsidRPr="00112F64">
        <w:rPr>
          <w:rFonts w:eastAsia="Calibri"/>
        </w:rPr>
        <w:t>4.</w:t>
      </w:r>
      <w:r w:rsidR="00B560D5">
        <w:rPr>
          <w:rFonts w:eastAsia="Calibri"/>
        </w:rPr>
        <w:t>4</w:t>
      </w:r>
      <w:r w:rsidRPr="00112F64">
        <w:rPr>
          <w:rFonts w:eastAsia="Calibri"/>
        </w:rPr>
        <w:t xml:space="preserve"> Analysis of Questionnaires</w:t>
      </w:r>
      <w:bookmarkEnd w:id="95"/>
    </w:p>
    <w:p w14:paraId="096CCCA5" w14:textId="7BCAE9B8" w:rsidR="00112F64" w:rsidRPr="00112F64" w:rsidRDefault="00112F64" w:rsidP="002B358B">
      <w:pPr>
        <w:pStyle w:val="Heading3"/>
        <w:jc w:val="both"/>
        <w:rPr>
          <w:rFonts w:eastAsia="Calibri"/>
          <w:lang w:val="en-ZW"/>
        </w:rPr>
      </w:pPr>
      <w:bookmarkStart w:id="96" w:name="_Toc215652928"/>
      <w:r w:rsidRPr="00112F64">
        <w:rPr>
          <w:rFonts w:eastAsia="Calibri"/>
          <w:lang w:val="en-ZW"/>
        </w:rPr>
        <w:t>4.</w:t>
      </w:r>
      <w:r w:rsidR="00B560D5">
        <w:rPr>
          <w:rFonts w:eastAsia="Calibri"/>
          <w:lang w:val="en-ZW"/>
        </w:rPr>
        <w:t>4</w:t>
      </w:r>
      <w:r w:rsidRPr="00112F64">
        <w:rPr>
          <w:rFonts w:eastAsia="Calibri"/>
          <w:lang w:val="en-ZW"/>
        </w:rPr>
        <w:t>.1 Demographics</w:t>
      </w:r>
      <w:bookmarkEnd w:id="96"/>
    </w:p>
    <w:p w14:paraId="2DF393AF" w14:textId="77777777" w:rsidR="00112F64" w:rsidRPr="00112F64" w:rsidRDefault="00112F64">
      <w:pPr>
        <w:numPr>
          <w:ilvl w:val="0"/>
          <w:numId w:val="9"/>
        </w:numPr>
        <w:autoSpaceDE w:val="0"/>
        <w:autoSpaceDN w:val="0"/>
        <w:adjustRightInd w:val="0"/>
        <w:spacing w:line="360" w:lineRule="auto"/>
        <w:contextualSpacing/>
        <w:jc w:val="both"/>
        <w:rPr>
          <w:rFonts w:eastAsia="Calibri"/>
          <w:b/>
          <w:bCs/>
          <w:color w:val="010205"/>
        </w:rPr>
      </w:pPr>
      <w:r w:rsidRPr="00112F64">
        <w:rPr>
          <w:rFonts w:eastAsia="Calibri"/>
          <w:b/>
          <w:bCs/>
          <w:color w:val="010205"/>
        </w:rPr>
        <w:t>Age</w:t>
      </w:r>
    </w:p>
    <w:p w14:paraId="74756DD3" w14:textId="77777777" w:rsidR="00112F64" w:rsidRPr="00112F64" w:rsidRDefault="00112F64" w:rsidP="002B358B">
      <w:pPr>
        <w:autoSpaceDE w:val="0"/>
        <w:autoSpaceDN w:val="0"/>
        <w:adjustRightInd w:val="0"/>
        <w:spacing w:line="360" w:lineRule="auto"/>
        <w:jc w:val="both"/>
        <w:rPr>
          <w:rFonts w:eastAsia="Calibri"/>
        </w:rPr>
      </w:pPr>
      <w:r w:rsidRPr="00112F64">
        <w:rPr>
          <w:rFonts w:eastAsia="Calibri"/>
        </w:rPr>
        <w:t>In the Table 4.15 below a sample of 90 individuals shows the 25–34 age group as the most common (32 people, 35.6%), followed by 55–64 (18 people, 20.0%), with under 18 and 18–24 each at 11 people (12.2%), 35–44 at 15 (16.7%), and 45–54 at 3 (3.3%).  Cumulative percentages rise from the youngest to the oldest groups and reach 100% at the final group, indicating all data points are accounted for.  This distribution suggests most participants are 25–34 years old, with a notable secondary concentration in 55–64, and the data can inform age-demographic analyses and distribution shape.</w:t>
      </w:r>
    </w:p>
    <w:p w14:paraId="58031BE8" w14:textId="77777777" w:rsidR="00112F64" w:rsidRPr="00112F64" w:rsidRDefault="00112F64" w:rsidP="002B358B">
      <w:pPr>
        <w:autoSpaceDE w:val="0"/>
        <w:autoSpaceDN w:val="0"/>
        <w:adjustRightInd w:val="0"/>
        <w:spacing w:line="360" w:lineRule="auto"/>
        <w:jc w:val="both"/>
        <w:rPr>
          <w:rFonts w:eastAsia="Calibri"/>
        </w:rPr>
      </w:pPr>
    </w:p>
    <w:p w14:paraId="0A526E9F" w14:textId="4E27B197" w:rsidR="00112F64" w:rsidRPr="00226B80" w:rsidRDefault="000E360F" w:rsidP="002B358B">
      <w:pPr>
        <w:autoSpaceDE w:val="0"/>
        <w:autoSpaceDN w:val="0"/>
        <w:adjustRightInd w:val="0"/>
        <w:spacing w:line="360" w:lineRule="auto"/>
        <w:jc w:val="both"/>
        <w:rPr>
          <w:rFonts w:eastAsia="Calibri"/>
          <w:b/>
          <w:bCs/>
        </w:rPr>
      </w:pPr>
      <w:r w:rsidRPr="00226B80">
        <w:rPr>
          <w:rFonts w:eastAsia="Calibri"/>
          <w:b/>
          <w:bCs/>
        </w:rPr>
        <w:t>Table 4.11 Age</w:t>
      </w:r>
    </w:p>
    <w:p w14:paraId="63D4CDB0" w14:textId="77777777" w:rsidR="00240CC8" w:rsidRPr="00112F64" w:rsidRDefault="00240CC8" w:rsidP="002B358B">
      <w:pPr>
        <w:autoSpaceDE w:val="0"/>
        <w:autoSpaceDN w:val="0"/>
        <w:adjustRightInd w:val="0"/>
        <w:spacing w:line="360" w:lineRule="auto"/>
        <w:jc w:val="both"/>
        <w:rPr>
          <w:rFonts w:eastAsia="Calibri"/>
        </w:rPr>
      </w:pPr>
    </w:p>
    <w:tbl>
      <w:tblPr>
        <w:tblStyle w:val="TableGrid"/>
        <w:tblW w:w="8455" w:type="dxa"/>
        <w:tblLayout w:type="fixed"/>
        <w:tblLook w:val="0000" w:firstRow="0" w:lastRow="0" w:firstColumn="0" w:lastColumn="0" w:noHBand="0" w:noVBand="0"/>
      </w:tblPr>
      <w:tblGrid>
        <w:gridCol w:w="985"/>
        <w:gridCol w:w="1440"/>
        <w:gridCol w:w="1530"/>
        <w:gridCol w:w="1080"/>
        <w:gridCol w:w="1800"/>
        <w:gridCol w:w="1620"/>
      </w:tblGrid>
      <w:tr w:rsidR="00112F64" w:rsidRPr="00226B80" w14:paraId="0FFC80E1" w14:textId="77777777" w:rsidTr="00226B80">
        <w:tc>
          <w:tcPr>
            <w:tcW w:w="2425" w:type="dxa"/>
            <w:gridSpan w:val="2"/>
          </w:tcPr>
          <w:p w14:paraId="158CD944" w14:textId="77777777" w:rsidR="00112F64" w:rsidRPr="00226B80" w:rsidRDefault="00112F64" w:rsidP="002B358B">
            <w:pPr>
              <w:autoSpaceDE w:val="0"/>
              <w:autoSpaceDN w:val="0"/>
              <w:adjustRightInd w:val="0"/>
              <w:spacing w:line="360" w:lineRule="auto"/>
              <w:jc w:val="both"/>
              <w:rPr>
                <w:rFonts w:eastAsia="Calibri"/>
                <w:b/>
                <w:bCs/>
              </w:rPr>
            </w:pPr>
          </w:p>
        </w:tc>
        <w:tc>
          <w:tcPr>
            <w:tcW w:w="1530" w:type="dxa"/>
          </w:tcPr>
          <w:p w14:paraId="5777B163"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Frequency</w:t>
            </w:r>
          </w:p>
        </w:tc>
        <w:tc>
          <w:tcPr>
            <w:tcW w:w="1080" w:type="dxa"/>
          </w:tcPr>
          <w:p w14:paraId="25DCF8D6"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Percent</w:t>
            </w:r>
          </w:p>
        </w:tc>
        <w:tc>
          <w:tcPr>
            <w:tcW w:w="1800" w:type="dxa"/>
          </w:tcPr>
          <w:p w14:paraId="2942E35D"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Valid Percent</w:t>
            </w:r>
          </w:p>
        </w:tc>
        <w:tc>
          <w:tcPr>
            <w:tcW w:w="1620" w:type="dxa"/>
          </w:tcPr>
          <w:p w14:paraId="0619346A"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Cumulative Percent</w:t>
            </w:r>
          </w:p>
        </w:tc>
      </w:tr>
      <w:tr w:rsidR="00112F64" w:rsidRPr="00226B80" w14:paraId="553398F9" w14:textId="77777777" w:rsidTr="00226B80">
        <w:tc>
          <w:tcPr>
            <w:tcW w:w="985" w:type="dxa"/>
            <w:vMerge w:val="restart"/>
          </w:tcPr>
          <w:p w14:paraId="64E8FE52"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lastRenderedPageBreak/>
              <w:t>Valid</w:t>
            </w:r>
          </w:p>
        </w:tc>
        <w:tc>
          <w:tcPr>
            <w:tcW w:w="1440" w:type="dxa"/>
          </w:tcPr>
          <w:p w14:paraId="59716DAC"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Under 18</w:t>
            </w:r>
          </w:p>
        </w:tc>
        <w:tc>
          <w:tcPr>
            <w:tcW w:w="1530" w:type="dxa"/>
          </w:tcPr>
          <w:p w14:paraId="6F89502D"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11</w:t>
            </w:r>
          </w:p>
        </w:tc>
        <w:tc>
          <w:tcPr>
            <w:tcW w:w="1080" w:type="dxa"/>
          </w:tcPr>
          <w:p w14:paraId="01D5AF62"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12.2</w:t>
            </w:r>
          </w:p>
        </w:tc>
        <w:tc>
          <w:tcPr>
            <w:tcW w:w="1800" w:type="dxa"/>
          </w:tcPr>
          <w:p w14:paraId="7DB5FEC4"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12.2</w:t>
            </w:r>
          </w:p>
        </w:tc>
        <w:tc>
          <w:tcPr>
            <w:tcW w:w="1620" w:type="dxa"/>
          </w:tcPr>
          <w:p w14:paraId="49FB9FF0"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12.2</w:t>
            </w:r>
          </w:p>
        </w:tc>
      </w:tr>
      <w:tr w:rsidR="00112F64" w:rsidRPr="00226B80" w14:paraId="2CAA79CC" w14:textId="77777777" w:rsidTr="00226B80">
        <w:tc>
          <w:tcPr>
            <w:tcW w:w="985" w:type="dxa"/>
            <w:vMerge/>
          </w:tcPr>
          <w:p w14:paraId="378059AE"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51FD3E27"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18–24</w:t>
            </w:r>
          </w:p>
        </w:tc>
        <w:tc>
          <w:tcPr>
            <w:tcW w:w="1530" w:type="dxa"/>
          </w:tcPr>
          <w:p w14:paraId="7B46451E"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11</w:t>
            </w:r>
          </w:p>
        </w:tc>
        <w:tc>
          <w:tcPr>
            <w:tcW w:w="1080" w:type="dxa"/>
          </w:tcPr>
          <w:p w14:paraId="51D67FC4"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12.2</w:t>
            </w:r>
          </w:p>
        </w:tc>
        <w:tc>
          <w:tcPr>
            <w:tcW w:w="1800" w:type="dxa"/>
          </w:tcPr>
          <w:p w14:paraId="2CF06363"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12.2</w:t>
            </w:r>
          </w:p>
        </w:tc>
        <w:tc>
          <w:tcPr>
            <w:tcW w:w="1620" w:type="dxa"/>
          </w:tcPr>
          <w:p w14:paraId="1D2196FF"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24.4</w:t>
            </w:r>
          </w:p>
        </w:tc>
      </w:tr>
      <w:tr w:rsidR="00112F64" w:rsidRPr="00226B80" w14:paraId="7FFF14A2" w14:textId="77777777" w:rsidTr="00226B80">
        <w:tc>
          <w:tcPr>
            <w:tcW w:w="985" w:type="dxa"/>
            <w:vMerge/>
          </w:tcPr>
          <w:p w14:paraId="230F53B0"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1E0A52D8"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25-34</w:t>
            </w:r>
          </w:p>
        </w:tc>
        <w:tc>
          <w:tcPr>
            <w:tcW w:w="1530" w:type="dxa"/>
          </w:tcPr>
          <w:p w14:paraId="0D18DC06"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32</w:t>
            </w:r>
          </w:p>
        </w:tc>
        <w:tc>
          <w:tcPr>
            <w:tcW w:w="1080" w:type="dxa"/>
          </w:tcPr>
          <w:p w14:paraId="0DBD8476"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35.6</w:t>
            </w:r>
          </w:p>
        </w:tc>
        <w:tc>
          <w:tcPr>
            <w:tcW w:w="1800" w:type="dxa"/>
          </w:tcPr>
          <w:p w14:paraId="3A8F51C6"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35.6</w:t>
            </w:r>
          </w:p>
        </w:tc>
        <w:tc>
          <w:tcPr>
            <w:tcW w:w="1620" w:type="dxa"/>
          </w:tcPr>
          <w:p w14:paraId="2740E788"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60.0</w:t>
            </w:r>
          </w:p>
        </w:tc>
      </w:tr>
      <w:tr w:rsidR="00112F64" w:rsidRPr="00226B80" w14:paraId="34D1FECB" w14:textId="77777777" w:rsidTr="00226B80">
        <w:tc>
          <w:tcPr>
            <w:tcW w:w="985" w:type="dxa"/>
            <w:vMerge/>
          </w:tcPr>
          <w:p w14:paraId="77C78EF2"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3DC3E31C"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35-44</w:t>
            </w:r>
          </w:p>
        </w:tc>
        <w:tc>
          <w:tcPr>
            <w:tcW w:w="1530" w:type="dxa"/>
          </w:tcPr>
          <w:p w14:paraId="1EEC7321"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15</w:t>
            </w:r>
          </w:p>
        </w:tc>
        <w:tc>
          <w:tcPr>
            <w:tcW w:w="1080" w:type="dxa"/>
          </w:tcPr>
          <w:p w14:paraId="7009772D"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16.7</w:t>
            </w:r>
          </w:p>
        </w:tc>
        <w:tc>
          <w:tcPr>
            <w:tcW w:w="1800" w:type="dxa"/>
          </w:tcPr>
          <w:p w14:paraId="362DF069"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16.7</w:t>
            </w:r>
          </w:p>
        </w:tc>
        <w:tc>
          <w:tcPr>
            <w:tcW w:w="1620" w:type="dxa"/>
          </w:tcPr>
          <w:p w14:paraId="1B6CB7C0"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76.7</w:t>
            </w:r>
          </w:p>
        </w:tc>
      </w:tr>
      <w:tr w:rsidR="00112F64" w:rsidRPr="00226B80" w14:paraId="456DE8EE" w14:textId="77777777" w:rsidTr="00226B80">
        <w:tc>
          <w:tcPr>
            <w:tcW w:w="985" w:type="dxa"/>
            <w:vMerge/>
          </w:tcPr>
          <w:p w14:paraId="77287481"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660A72FF"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45-54</w:t>
            </w:r>
          </w:p>
        </w:tc>
        <w:tc>
          <w:tcPr>
            <w:tcW w:w="1530" w:type="dxa"/>
          </w:tcPr>
          <w:p w14:paraId="39EA7D79"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w:t>
            </w:r>
          </w:p>
        </w:tc>
        <w:tc>
          <w:tcPr>
            <w:tcW w:w="1080" w:type="dxa"/>
          </w:tcPr>
          <w:p w14:paraId="73DC66D1"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3.3</w:t>
            </w:r>
          </w:p>
        </w:tc>
        <w:tc>
          <w:tcPr>
            <w:tcW w:w="1800" w:type="dxa"/>
          </w:tcPr>
          <w:p w14:paraId="6961544A"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3.3</w:t>
            </w:r>
          </w:p>
        </w:tc>
        <w:tc>
          <w:tcPr>
            <w:tcW w:w="1620" w:type="dxa"/>
          </w:tcPr>
          <w:p w14:paraId="55EB782B"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80.0</w:t>
            </w:r>
          </w:p>
        </w:tc>
      </w:tr>
      <w:tr w:rsidR="00112F64" w:rsidRPr="00226B80" w14:paraId="6F304990" w14:textId="77777777" w:rsidTr="00226B80">
        <w:tc>
          <w:tcPr>
            <w:tcW w:w="985" w:type="dxa"/>
            <w:vMerge/>
          </w:tcPr>
          <w:p w14:paraId="248DCE1A"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6F28748A"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55-64</w:t>
            </w:r>
          </w:p>
        </w:tc>
        <w:tc>
          <w:tcPr>
            <w:tcW w:w="1530" w:type="dxa"/>
          </w:tcPr>
          <w:p w14:paraId="7E0BBBB4"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18</w:t>
            </w:r>
          </w:p>
        </w:tc>
        <w:tc>
          <w:tcPr>
            <w:tcW w:w="1080" w:type="dxa"/>
          </w:tcPr>
          <w:p w14:paraId="232CE60C"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20.0</w:t>
            </w:r>
          </w:p>
        </w:tc>
        <w:tc>
          <w:tcPr>
            <w:tcW w:w="1800" w:type="dxa"/>
          </w:tcPr>
          <w:p w14:paraId="0C82255E"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20.0</w:t>
            </w:r>
          </w:p>
        </w:tc>
        <w:tc>
          <w:tcPr>
            <w:tcW w:w="1620" w:type="dxa"/>
          </w:tcPr>
          <w:p w14:paraId="77E033CD"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100.0</w:t>
            </w:r>
          </w:p>
        </w:tc>
      </w:tr>
      <w:tr w:rsidR="00112F64" w:rsidRPr="00226B80" w14:paraId="243E1390" w14:textId="77777777" w:rsidTr="00226B80">
        <w:tc>
          <w:tcPr>
            <w:tcW w:w="985" w:type="dxa"/>
            <w:vMerge/>
          </w:tcPr>
          <w:p w14:paraId="2A831086" w14:textId="77777777" w:rsidR="00112F64" w:rsidRPr="00226B80" w:rsidRDefault="00112F64" w:rsidP="002B358B">
            <w:pPr>
              <w:autoSpaceDE w:val="0"/>
              <w:autoSpaceDN w:val="0"/>
              <w:adjustRightInd w:val="0"/>
              <w:spacing w:line="360" w:lineRule="auto"/>
              <w:jc w:val="both"/>
              <w:rPr>
                <w:rFonts w:eastAsia="Calibri"/>
                <w:b/>
                <w:bCs/>
              </w:rPr>
            </w:pPr>
          </w:p>
        </w:tc>
        <w:tc>
          <w:tcPr>
            <w:tcW w:w="1440" w:type="dxa"/>
          </w:tcPr>
          <w:p w14:paraId="011DBE39" w14:textId="77777777" w:rsidR="00112F64" w:rsidRPr="00226B80" w:rsidRDefault="00112F64" w:rsidP="002B358B">
            <w:pPr>
              <w:autoSpaceDE w:val="0"/>
              <w:autoSpaceDN w:val="0"/>
              <w:adjustRightInd w:val="0"/>
              <w:spacing w:line="360" w:lineRule="auto"/>
              <w:ind w:right="60"/>
              <w:jc w:val="both"/>
              <w:rPr>
                <w:rFonts w:eastAsia="Calibri"/>
                <w:b/>
                <w:bCs/>
              </w:rPr>
            </w:pPr>
            <w:r w:rsidRPr="00226B80">
              <w:rPr>
                <w:rFonts w:eastAsia="Calibri"/>
                <w:b/>
                <w:bCs/>
              </w:rPr>
              <w:t>Total</w:t>
            </w:r>
          </w:p>
        </w:tc>
        <w:tc>
          <w:tcPr>
            <w:tcW w:w="1530" w:type="dxa"/>
          </w:tcPr>
          <w:p w14:paraId="6D174681"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90</w:t>
            </w:r>
          </w:p>
        </w:tc>
        <w:tc>
          <w:tcPr>
            <w:tcW w:w="1080" w:type="dxa"/>
          </w:tcPr>
          <w:p w14:paraId="30F8ACBD"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100.0</w:t>
            </w:r>
          </w:p>
        </w:tc>
        <w:tc>
          <w:tcPr>
            <w:tcW w:w="1800" w:type="dxa"/>
          </w:tcPr>
          <w:p w14:paraId="4F07A700" w14:textId="77777777" w:rsidR="00112F64" w:rsidRPr="00226B80" w:rsidRDefault="00112F64" w:rsidP="002B358B">
            <w:pPr>
              <w:autoSpaceDE w:val="0"/>
              <w:autoSpaceDN w:val="0"/>
              <w:adjustRightInd w:val="0"/>
              <w:spacing w:line="360" w:lineRule="auto"/>
              <w:ind w:right="60"/>
              <w:jc w:val="both"/>
              <w:rPr>
                <w:rFonts w:eastAsia="Calibri"/>
                <w:b/>
                <w:bCs/>
                <w:color w:val="010205"/>
              </w:rPr>
            </w:pPr>
            <w:r w:rsidRPr="00226B80">
              <w:rPr>
                <w:rFonts w:eastAsia="Calibri"/>
                <w:b/>
                <w:bCs/>
                <w:color w:val="010205"/>
              </w:rPr>
              <w:t>100.0</w:t>
            </w:r>
          </w:p>
        </w:tc>
        <w:tc>
          <w:tcPr>
            <w:tcW w:w="1620" w:type="dxa"/>
          </w:tcPr>
          <w:p w14:paraId="739E8AC1" w14:textId="77777777" w:rsidR="00112F64" w:rsidRPr="00226B80" w:rsidRDefault="00112F64" w:rsidP="002B358B">
            <w:pPr>
              <w:autoSpaceDE w:val="0"/>
              <w:autoSpaceDN w:val="0"/>
              <w:adjustRightInd w:val="0"/>
              <w:spacing w:line="360" w:lineRule="auto"/>
              <w:jc w:val="both"/>
              <w:rPr>
                <w:rFonts w:eastAsia="Calibri"/>
                <w:b/>
                <w:bCs/>
              </w:rPr>
            </w:pPr>
          </w:p>
        </w:tc>
      </w:tr>
    </w:tbl>
    <w:p w14:paraId="7C81421E" w14:textId="77777777" w:rsidR="00112F64" w:rsidRPr="00112F64" w:rsidRDefault="00112F64" w:rsidP="002B358B">
      <w:pPr>
        <w:autoSpaceDE w:val="0"/>
        <w:autoSpaceDN w:val="0"/>
        <w:adjustRightInd w:val="0"/>
        <w:spacing w:line="360" w:lineRule="auto"/>
        <w:jc w:val="both"/>
        <w:rPr>
          <w:rFonts w:eastAsia="Calibri"/>
        </w:rPr>
      </w:pPr>
    </w:p>
    <w:p w14:paraId="05D26BB1" w14:textId="77777777" w:rsidR="00112F64" w:rsidRPr="00112F64" w:rsidRDefault="00112F64">
      <w:pPr>
        <w:numPr>
          <w:ilvl w:val="0"/>
          <w:numId w:val="9"/>
        </w:numPr>
        <w:spacing w:line="360" w:lineRule="auto"/>
        <w:contextualSpacing/>
        <w:jc w:val="both"/>
        <w:rPr>
          <w:rFonts w:eastAsia="Calibri"/>
          <w:b/>
          <w:bCs/>
        </w:rPr>
      </w:pPr>
      <w:bookmarkStart w:id="97" w:name="_Hlk215425512"/>
      <w:bookmarkStart w:id="98" w:name="_Hlk215424671"/>
      <w:r w:rsidRPr="00112F64">
        <w:rPr>
          <w:rFonts w:eastAsia="Calibri"/>
          <w:b/>
          <w:bCs/>
        </w:rPr>
        <w:t>Gender</w:t>
      </w:r>
    </w:p>
    <w:bookmarkEnd w:id="97"/>
    <w:p w14:paraId="1BF7D4F7" w14:textId="147C1483" w:rsidR="00112F64" w:rsidRPr="00112F64" w:rsidRDefault="00112F64" w:rsidP="002B358B">
      <w:pPr>
        <w:spacing w:line="360" w:lineRule="auto"/>
        <w:jc w:val="both"/>
        <w:rPr>
          <w:rFonts w:eastAsia="Calibri"/>
        </w:rPr>
      </w:pPr>
      <w:r w:rsidRPr="00112F64">
        <w:rPr>
          <w:rFonts w:eastAsia="Calibri"/>
        </w:rPr>
        <w:t xml:space="preserve">The Table 4.16 below presents the distribution of gender among the participants, with 51 males and 39 females. The frequency column shows the count of each group, while the percent and valid percent columns indicate the proportion relative to the total sample. Both the percent and valid percent are identical here, suggesting no missing data or exclusions. The percentages are calculated by dividing each group’s count by the total (90) and multiplying by 100: for males, (51/90) x 100 = 56.7%; for females, (39/90) x 100 = 43.3%. The cumulative percentages show the running total, with males accounting for 56.7% and females reaching 100%, confirming the total sample size. This table helps understand the gender composition of the sample, which can be useful for further analysis or comparisons. The “Total” row confirms the sum of the counts and percentages, ensuring data consistency. The “Valid Percent” column indicates the percentage of each group relative to the total valid responses, which in this case equals the percent column because there are no missing data. </w:t>
      </w:r>
    </w:p>
    <w:p w14:paraId="2BBA141F" w14:textId="49191BFE" w:rsidR="00240CC8" w:rsidRPr="00226B80" w:rsidRDefault="000E360F" w:rsidP="002B358B">
      <w:pPr>
        <w:autoSpaceDE w:val="0"/>
        <w:autoSpaceDN w:val="0"/>
        <w:adjustRightInd w:val="0"/>
        <w:spacing w:line="360" w:lineRule="auto"/>
        <w:jc w:val="both"/>
        <w:rPr>
          <w:rFonts w:eastAsia="Calibri"/>
          <w:b/>
          <w:bCs/>
        </w:rPr>
      </w:pPr>
      <w:r w:rsidRPr="00226B80">
        <w:rPr>
          <w:rFonts w:eastAsia="Calibri"/>
          <w:b/>
          <w:bCs/>
        </w:rPr>
        <w:t>Table 4.12 Gender</w:t>
      </w:r>
      <w:r w:rsidR="00240CC8" w:rsidRPr="00226B80">
        <w:rPr>
          <w:rFonts w:eastAsia="Calibri"/>
          <w:b/>
          <w:bCs/>
        </w:rPr>
        <w:t xml:space="preserve"> </w:t>
      </w:r>
    </w:p>
    <w:bookmarkEnd w:id="98"/>
    <w:tbl>
      <w:tblPr>
        <w:tblStyle w:val="TableGrid"/>
        <w:tblW w:w="8185" w:type="dxa"/>
        <w:tblLayout w:type="fixed"/>
        <w:tblLook w:val="0000" w:firstRow="0" w:lastRow="0" w:firstColumn="0" w:lastColumn="0" w:noHBand="0" w:noVBand="0"/>
      </w:tblPr>
      <w:tblGrid>
        <w:gridCol w:w="736"/>
        <w:gridCol w:w="938"/>
        <w:gridCol w:w="1381"/>
        <w:gridCol w:w="1260"/>
        <w:gridCol w:w="1530"/>
        <w:gridCol w:w="2340"/>
      </w:tblGrid>
      <w:tr w:rsidR="00112F64" w:rsidRPr="00112F64" w14:paraId="556971DF" w14:textId="77777777" w:rsidTr="00226B80">
        <w:tc>
          <w:tcPr>
            <w:tcW w:w="1674" w:type="dxa"/>
            <w:gridSpan w:val="2"/>
          </w:tcPr>
          <w:p w14:paraId="7578B5C6" w14:textId="77777777" w:rsidR="00112F64" w:rsidRPr="00112F64" w:rsidRDefault="00112F64" w:rsidP="002B358B">
            <w:pPr>
              <w:jc w:val="both"/>
              <w:rPr>
                <w:rFonts w:eastAsia="Calibri"/>
              </w:rPr>
            </w:pPr>
          </w:p>
        </w:tc>
        <w:tc>
          <w:tcPr>
            <w:tcW w:w="1381" w:type="dxa"/>
          </w:tcPr>
          <w:p w14:paraId="32E26D95" w14:textId="77777777" w:rsidR="00112F64" w:rsidRPr="00112F64" w:rsidRDefault="00112F64" w:rsidP="002B358B">
            <w:pPr>
              <w:spacing w:line="360" w:lineRule="auto"/>
              <w:jc w:val="both"/>
              <w:rPr>
                <w:rFonts w:eastAsia="Calibri"/>
              </w:rPr>
            </w:pPr>
            <w:r w:rsidRPr="00112F64">
              <w:rPr>
                <w:rFonts w:eastAsia="Calibri"/>
              </w:rPr>
              <w:t>Frequency</w:t>
            </w:r>
          </w:p>
        </w:tc>
        <w:tc>
          <w:tcPr>
            <w:tcW w:w="1260" w:type="dxa"/>
          </w:tcPr>
          <w:p w14:paraId="3392C253" w14:textId="77777777" w:rsidR="00112F64" w:rsidRPr="00112F64" w:rsidRDefault="00112F64" w:rsidP="002B358B">
            <w:pPr>
              <w:spacing w:line="360" w:lineRule="auto"/>
              <w:jc w:val="both"/>
              <w:rPr>
                <w:rFonts w:eastAsia="Calibri"/>
              </w:rPr>
            </w:pPr>
            <w:r w:rsidRPr="00112F64">
              <w:rPr>
                <w:rFonts w:eastAsia="Calibri"/>
              </w:rPr>
              <w:t>Percent</w:t>
            </w:r>
          </w:p>
        </w:tc>
        <w:tc>
          <w:tcPr>
            <w:tcW w:w="1530" w:type="dxa"/>
          </w:tcPr>
          <w:p w14:paraId="2035B1C9" w14:textId="77777777" w:rsidR="00112F64" w:rsidRPr="00112F64" w:rsidRDefault="00112F64" w:rsidP="002B358B">
            <w:pPr>
              <w:spacing w:line="360" w:lineRule="auto"/>
              <w:jc w:val="both"/>
              <w:rPr>
                <w:rFonts w:eastAsia="Calibri"/>
              </w:rPr>
            </w:pPr>
            <w:r w:rsidRPr="00112F64">
              <w:rPr>
                <w:rFonts w:eastAsia="Calibri"/>
              </w:rPr>
              <w:t>Valid Percent</w:t>
            </w:r>
          </w:p>
        </w:tc>
        <w:tc>
          <w:tcPr>
            <w:tcW w:w="2340" w:type="dxa"/>
          </w:tcPr>
          <w:p w14:paraId="46F2385F" w14:textId="77777777" w:rsidR="00112F64" w:rsidRPr="00112F64" w:rsidRDefault="00112F64" w:rsidP="002B358B">
            <w:pPr>
              <w:spacing w:line="360" w:lineRule="auto"/>
              <w:jc w:val="both"/>
              <w:rPr>
                <w:rFonts w:eastAsia="Calibri"/>
              </w:rPr>
            </w:pPr>
            <w:r w:rsidRPr="00112F64">
              <w:rPr>
                <w:rFonts w:eastAsia="Calibri"/>
              </w:rPr>
              <w:t>Cumulative Percent</w:t>
            </w:r>
          </w:p>
        </w:tc>
      </w:tr>
      <w:tr w:rsidR="00112F64" w:rsidRPr="00112F64" w14:paraId="4384C02D" w14:textId="77777777" w:rsidTr="00226B80">
        <w:tc>
          <w:tcPr>
            <w:tcW w:w="736" w:type="dxa"/>
            <w:vMerge w:val="restart"/>
          </w:tcPr>
          <w:p w14:paraId="49425E4A" w14:textId="77777777" w:rsidR="00112F64" w:rsidRPr="00112F64" w:rsidRDefault="00112F64" w:rsidP="002B358B">
            <w:pPr>
              <w:spacing w:line="360" w:lineRule="auto"/>
              <w:jc w:val="both"/>
              <w:rPr>
                <w:rFonts w:eastAsia="Calibri"/>
              </w:rPr>
            </w:pPr>
            <w:r w:rsidRPr="00112F64">
              <w:rPr>
                <w:rFonts w:eastAsia="Calibri"/>
              </w:rPr>
              <w:t>Valid</w:t>
            </w:r>
          </w:p>
        </w:tc>
        <w:tc>
          <w:tcPr>
            <w:tcW w:w="938" w:type="dxa"/>
          </w:tcPr>
          <w:p w14:paraId="12281467" w14:textId="77777777" w:rsidR="00112F64" w:rsidRPr="00112F64" w:rsidRDefault="00112F64" w:rsidP="002B358B">
            <w:pPr>
              <w:spacing w:line="360" w:lineRule="auto"/>
              <w:jc w:val="both"/>
              <w:rPr>
                <w:rFonts w:eastAsia="Calibri"/>
              </w:rPr>
            </w:pPr>
            <w:r w:rsidRPr="00112F64">
              <w:rPr>
                <w:rFonts w:eastAsia="Calibri"/>
              </w:rPr>
              <w:t>Male</w:t>
            </w:r>
          </w:p>
        </w:tc>
        <w:tc>
          <w:tcPr>
            <w:tcW w:w="1381" w:type="dxa"/>
          </w:tcPr>
          <w:p w14:paraId="26A36CE4" w14:textId="77777777" w:rsidR="00112F64" w:rsidRPr="00112F64" w:rsidRDefault="00112F64" w:rsidP="002B358B">
            <w:pPr>
              <w:spacing w:line="360" w:lineRule="auto"/>
              <w:jc w:val="both"/>
              <w:rPr>
                <w:rFonts w:eastAsia="Calibri"/>
              </w:rPr>
            </w:pPr>
            <w:r w:rsidRPr="00112F64">
              <w:rPr>
                <w:rFonts w:eastAsia="Calibri"/>
              </w:rPr>
              <w:t>51</w:t>
            </w:r>
          </w:p>
        </w:tc>
        <w:tc>
          <w:tcPr>
            <w:tcW w:w="1260" w:type="dxa"/>
          </w:tcPr>
          <w:p w14:paraId="66952684" w14:textId="77777777" w:rsidR="00112F64" w:rsidRPr="00112F64" w:rsidRDefault="00112F64" w:rsidP="002B358B">
            <w:pPr>
              <w:spacing w:line="360" w:lineRule="auto"/>
              <w:jc w:val="both"/>
              <w:rPr>
                <w:rFonts w:eastAsia="Calibri"/>
              </w:rPr>
            </w:pPr>
            <w:r w:rsidRPr="00112F64">
              <w:rPr>
                <w:rFonts w:eastAsia="Calibri"/>
              </w:rPr>
              <w:t>56.7</w:t>
            </w:r>
          </w:p>
        </w:tc>
        <w:tc>
          <w:tcPr>
            <w:tcW w:w="1530" w:type="dxa"/>
          </w:tcPr>
          <w:p w14:paraId="02F37EEF" w14:textId="77777777" w:rsidR="00112F64" w:rsidRPr="00112F64" w:rsidRDefault="00112F64" w:rsidP="002B358B">
            <w:pPr>
              <w:spacing w:line="360" w:lineRule="auto"/>
              <w:jc w:val="both"/>
              <w:rPr>
                <w:rFonts w:eastAsia="Calibri"/>
              </w:rPr>
            </w:pPr>
            <w:r w:rsidRPr="00112F64">
              <w:rPr>
                <w:rFonts w:eastAsia="Calibri"/>
              </w:rPr>
              <w:t>56.7</w:t>
            </w:r>
          </w:p>
        </w:tc>
        <w:tc>
          <w:tcPr>
            <w:tcW w:w="2340" w:type="dxa"/>
          </w:tcPr>
          <w:p w14:paraId="5259364B" w14:textId="77777777" w:rsidR="00112F64" w:rsidRPr="00112F64" w:rsidRDefault="00112F64" w:rsidP="002B358B">
            <w:pPr>
              <w:spacing w:line="360" w:lineRule="auto"/>
              <w:jc w:val="both"/>
              <w:rPr>
                <w:rFonts w:eastAsia="Calibri"/>
              </w:rPr>
            </w:pPr>
            <w:r w:rsidRPr="00112F64">
              <w:rPr>
                <w:rFonts w:eastAsia="Calibri"/>
              </w:rPr>
              <w:t>56.7</w:t>
            </w:r>
          </w:p>
        </w:tc>
      </w:tr>
      <w:tr w:rsidR="00112F64" w:rsidRPr="00112F64" w14:paraId="67A73A3F" w14:textId="77777777" w:rsidTr="00226B80">
        <w:tc>
          <w:tcPr>
            <w:tcW w:w="736" w:type="dxa"/>
            <w:vMerge/>
          </w:tcPr>
          <w:p w14:paraId="56CD6287" w14:textId="77777777" w:rsidR="00112F64" w:rsidRPr="00112F64" w:rsidRDefault="00112F64" w:rsidP="002B358B">
            <w:pPr>
              <w:spacing w:line="360" w:lineRule="auto"/>
              <w:jc w:val="both"/>
              <w:rPr>
                <w:rFonts w:eastAsia="Calibri"/>
              </w:rPr>
            </w:pPr>
          </w:p>
        </w:tc>
        <w:tc>
          <w:tcPr>
            <w:tcW w:w="938" w:type="dxa"/>
          </w:tcPr>
          <w:p w14:paraId="2049A944" w14:textId="77777777" w:rsidR="00112F64" w:rsidRPr="00112F64" w:rsidRDefault="00112F64" w:rsidP="002B358B">
            <w:pPr>
              <w:spacing w:line="360" w:lineRule="auto"/>
              <w:jc w:val="both"/>
              <w:rPr>
                <w:rFonts w:eastAsia="Calibri"/>
              </w:rPr>
            </w:pPr>
            <w:r w:rsidRPr="00112F64">
              <w:rPr>
                <w:rFonts w:eastAsia="Calibri"/>
              </w:rPr>
              <w:t>Female</w:t>
            </w:r>
          </w:p>
        </w:tc>
        <w:tc>
          <w:tcPr>
            <w:tcW w:w="1381" w:type="dxa"/>
          </w:tcPr>
          <w:p w14:paraId="44EF4F79" w14:textId="77777777" w:rsidR="00112F64" w:rsidRPr="00112F64" w:rsidRDefault="00112F64" w:rsidP="002B358B">
            <w:pPr>
              <w:spacing w:line="360" w:lineRule="auto"/>
              <w:jc w:val="both"/>
              <w:rPr>
                <w:rFonts w:eastAsia="Calibri"/>
              </w:rPr>
            </w:pPr>
            <w:r w:rsidRPr="00112F64">
              <w:rPr>
                <w:rFonts w:eastAsia="Calibri"/>
              </w:rPr>
              <w:t>39</w:t>
            </w:r>
          </w:p>
        </w:tc>
        <w:tc>
          <w:tcPr>
            <w:tcW w:w="1260" w:type="dxa"/>
          </w:tcPr>
          <w:p w14:paraId="2BC8B085" w14:textId="77777777" w:rsidR="00112F64" w:rsidRPr="00112F64" w:rsidRDefault="00112F64" w:rsidP="002B358B">
            <w:pPr>
              <w:spacing w:line="360" w:lineRule="auto"/>
              <w:jc w:val="both"/>
              <w:rPr>
                <w:rFonts w:eastAsia="Calibri"/>
              </w:rPr>
            </w:pPr>
            <w:r w:rsidRPr="00112F64">
              <w:rPr>
                <w:rFonts w:eastAsia="Calibri"/>
              </w:rPr>
              <w:t>43.3</w:t>
            </w:r>
          </w:p>
        </w:tc>
        <w:tc>
          <w:tcPr>
            <w:tcW w:w="1530" w:type="dxa"/>
          </w:tcPr>
          <w:p w14:paraId="4D28B6CE" w14:textId="77777777" w:rsidR="00112F64" w:rsidRPr="00112F64" w:rsidRDefault="00112F64" w:rsidP="002B358B">
            <w:pPr>
              <w:spacing w:line="360" w:lineRule="auto"/>
              <w:jc w:val="both"/>
              <w:rPr>
                <w:rFonts w:eastAsia="Calibri"/>
              </w:rPr>
            </w:pPr>
            <w:r w:rsidRPr="00112F64">
              <w:rPr>
                <w:rFonts w:eastAsia="Calibri"/>
              </w:rPr>
              <w:t>43.3</w:t>
            </w:r>
          </w:p>
        </w:tc>
        <w:tc>
          <w:tcPr>
            <w:tcW w:w="2340" w:type="dxa"/>
          </w:tcPr>
          <w:p w14:paraId="2DF9EA88" w14:textId="77777777" w:rsidR="00112F64" w:rsidRPr="00112F64" w:rsidRDefault="00112F64" w:rsidP="002B358B">
            <w:pPr>
              <w:spacing w:line="360" w:lineRule="auto"/>
              <w:jc w:val="both"/>
              <w:rPr>
                <w:rFonts w:eastAsia="Calibri"/>
              </w:rPr>
            </w:pPr>
            <w:r w:rsidRPr="00112F64">
              <w:rPr>
                <w:rFonts w:eastAsia="Calibri"/>
              </w:rPr>
              <w:t>100.0</w:t>
            </w:r>
          </w:p>
        </w:tc>
      </w:tr>
      <w:tr w:rsidR="00112F64" w:rsidRPr="00112F64" w14:paraId="60E209B0" w14:textId="77777777" w:rsidTr="00226B80">
        <w:tc>
          <w:tcPr>
            <w:tcW w:w="736" w:type="dxa"/>
            <w:vMerge/>
          </w:tcPr>
          <w:p w14:paraId="157270BC" w14:textId="77777777" w:rsidR="00112F64" w:rsidRPr="00112F64" w:rsidRDefault="00112F64" w:rsidP="002B358B">
            <w:pPr>
              <w:spacing w:line="360" w:lineRule="auto"/>
              <w:jc w:val="both"/>
              <w:rPr>
                <w:rFonts w:eastAsia="Calibri"/>
              </w:rPr>
            </w:pPr>
          </w:p>
        </w:tc>
        <w:tc>
          <w:tcPr>
            <w:tcW w:w="938" w:type="dxa"/>
          </w:tcPr>
          <w:p w14:paraId="625B9AB6" w14:textId="77777777" w:rsidR="00112F64" w:rsidRPr="00112F64" w:rsidRDefault="00112F64" w:rsidP="002B358B">
            <w:pPr>
              <w:spacing w:line="360" w:lineRule="auto"/>
              <w:jc w:val="both"/>
              <w:rPr>
                <w:rFonts w:eastAsia="Calibri"/>
              </w:rPr>
            </w:pPr>
            <w:r w:rsidRPr="00112F64">
              <w:rPr>
                <w:rFonts w:eastAsia="Calibri"/>
              </w:rPr>
              <w:t>Total</w:t>
            </w:r>
          </w:p>
        </w:tc>
        <w:tc>
          <w:tcPr>
            <w:tcW w:w="1381" w:type="dxa"/>
          </w:tcPr>
          <w:p w14:paraId="6F4B1DB8" w14:textId="77777777" w:rsidR="00112F64" w:rsidRPr="00112F64" w:rsidRDefault="00112F64" w:rsidP="002B358B">
            <w:pPr>
              <w:spacing w:line="360" w:lineRule="auto"/>
              <w:jc w:val="both"/>
              <w:rPr>
                <w:rFonts w:eastAsia="Calibri"/>
              </w:rPr>
            </w:pPr>
            <w:r w:rsidRPr="00112F64">
              <w:rPr>
                <w:rFonts w:eastAsia="Calibri"/>
              </w:rPr>
              <w:t>90</w:t>
            </w:r>
          </w:p>
        </w:tc>
        <w:tc>
          <w:tcPr>
            <w:tcW w:w="1260" w:type="dxa"/>
          </w:tcPr>
          <w:p w14:paraId="2FC0015F" w14:textId="77777777" w:rsidR="00112F64" w:rsidRPr="00112F64" w:rsidRDefault="00112F64" w:rsidP="002B358B">
            <w:pPr>
              <w:spacing w:line="360" w:lineRule="auto"/>
              <w:jc w:val="both"/>
              <w:rPr>
                <w:rFonts w:eastAsia="Calibri"/>
              </w:rPr>
            </w:pPr>
            <w:r w:rsidRPr="00112F64">
              <w:rPr>
                <w:rFonts w:eastAsia="Calibri"/>
              </w:rPr>
              <w:t>100.0</w:t>
            </w:r>
          </w:p>
        </w:tc>
        <w:tc>
          <w:tcPr>
            <w:tcW w:w="1530" w:type="dxa"/>
          </w:tcPr>
          <w:p w14:paraId="74017825" w14:textId="77777777" w:rsidR="00112F64" w:rsidRPr="00112F64" w:rsidRDefault="00112F64" w:rsidP="002B358B">
            <w:pPr>
              <w:spacing w:line="360" w:lineRule="auto"/>
              <w:jc w:val="both"/>
              <w:rPr>
                <w:rFonts w:eastAsia="Calibri"/>
              </w:rPr>
            </w:pPr>
            <w:r w:rsidRPr="00112F64">
              <w:rPr>
                <w:rFonts w:eastAsia="Calibri"/>
              </w:rPr>
              <w:t>100.0</w:t>
            </w:r>
          </w:p>
        </w:tc>
        <w:tc>
          <w:tcPr>
            <w:tcW w:w="2340" w:type="dxa"/>
          </w:tcPr>
          <w:p w14:paraId="776B0D16" w14:textId="77777777" w:rsidR="00112F64" w:rsidRPr="00112F64" w:rsidRDefault="00112F64" w:rsidP="002B358B">
            <w:pPr>
              <w:spacing w:line="360" w:lineRule="auto"/>
              <w:jc w:val="both"/>
              <w:rPr>
                <w:rFonts w:eastAsia="Calibri"/>
              </w:rPr>
            </w:pPr>
          </w:p>
        </w:tc>
      </w:tr>
    </w:tbl>
    <w:p w14:paraId="5A9A9926" w14:textId="77777777" w:rsidR="00112F64" w:rsidRPr="00112F64" w:rsidRDefault="00112F64" w:rsidP="002B358B">
      <w:pPr>
        <w:spacing w:line="360" w:lineRule="auto"/>
        <w:jc w:val="both"/>
        <w:rPr>
          <w:rFonts w:eastAsia="Calibri"/>
        </w:rPr>
      </w:pPr>
    </w:p>
    <w:p w14:paraId="77F23C70" w14:textId="77777777" w:rsidR="00112F64" w:rsidRPr="00112F64" w:rsidRDefault="00112F64">
      <w:pPr>
        <w:numPr>
          <w:ilvl w:val="0"/>
          <w:numId w:val="9"/>
        </w:numPr>
        <w:spacing w:line="360" w:lineRule="auto"/>
        <w:contextualSpacing/>
        <w:jc w:val="both"/>
        <w:rPr>
          <w:rFonts w:eastAsia="Calibri"/>
        </w:rPr>
      </w:pPr>
      <w:r w:rsidRPr="00112F64">
        <w:rPr>
          <w:rFonts w:eastAsia="Calibri"/>
          <w:b/>
          <w:bCs/>
          <w:color w:val="010205"/>
        </w:rPr>
        <w:t>Residence</w:t>
      </w:r>
    </w:p>
    <w:p w14:paraId="23059BA3" w14:textId="77777777" w:rsidR="00112F64" w:rsidRPr="00112F64" w:rsidRDefault="00112F64" w:rsidP="002B358B">
      <w:pPr>
        <w:spacing w:line="360" w:lineRule="auto"/>
        <w:jc w:val="both"/>
        <w:rPr>
          <w:rFonts w:eastAsia="Calibri"/>
        </w:rPr>
      </w:pPr>
      <w:r w:rsidRPr="00112F64">
        <w:rPr>
          <w:rFonts w:eastAsia="Calibri"/>
        </w:rPr>
        <w:t xml:space="preserve">The Table 4.17 below shows 90 respondents distributed across Northern suburbs (20%), Southern suburbs (28.9%), Western suburbs (33.3%), Eastern suburbs (6.7%), and those who do not reside in Harare but work there (11.1%), with percentages based on valid responses. Western suburbs </w:t>
      </w:r>
      <w:r w:rsidRPr="00112F64">
        <w:rPr>
          <w:rFonts w:eastAsia="Calibri"/>
        </w:rPr>
        <w:lastRenderedPageBreak/>
        <w:t>have the highest representation (33.3%), followed by Southern suburbs (28.9%), then Northern (20%), Eastern (6.7%), and non-resident workers (11.1%). This distribution can inform urban planning and resource allocation by highlighting where residents and commuters are concentrated.</w:t>
      </w:r>
    </w:p>
    <w:tbl>
      <w:tblPr>
        <w:tblStyle w:val="TableGrid"/>
        <w:tblW w:w="8270" w:type="dxa"/>
        <w:tblLayout w:type="fixed"/>
        <w:tblLook w:val="0000" w:firstRow="0" w:lastRow="0" w:firstColumn="0" w:lastColumn="0" w:noHBand="0" w:noVBand="0"/>
      </w:tblPr>
      <w:tblGrid>
        <w:gridCol w:w="805"/>
        <w:gridCol w:w="2392"/>
        <w:gridCol w:w="1568"/>
        <w:gridCol w:w="630"/>
        <w:gridCol w:w="1399"/>
        <w:gridCol w:w="1476"/>
      </w:tblGrid>
      <w:tr w:rsidR="00112F64" w:rsidRPr="00226B80" w14:paraId="60A1E031" w14:textId="77777777" w:rsidTr="00226B80">
        <w:tc>
          <w:tcPr>
            <w:tcW w:w="8270" w:type="dxa"/>
            <w:gridSpan w:val="6"/>
          </w:tcPr>
          <w:p w14:paraId="293074F0" w14:textId="01D3FF29" w:rsidR="00112F64" w:rsidRPr="00226B80" w:rsidRDefault="000E360F" w:rsidP="002B358B">
            <w:pPr>
              <w:spacing w:line="360" w:lineRule="auto"/>
              <w:jc w:val="both"/>
              <w:rPr>
                <w:rFonts w:eastAsia="Calibri"/>
                <w:b/>
                <w:bCs/>
              </w:rPr>
            </w:pPr>
            <w:r w:rsidRPr="00226B80">
              <w:rPr>
                <w:rFonts w:eastAsia="Calibri"/>
                <w:b/>
                <w:bCs/>
              </w:rPr>
              <w:t>Table 4.13</w:t>
            </w:r>
            <w:bookmarkStart w:id="99" w:name="_Hlk215425239"/>
            <w:r w:rsidRPr="00226B80">
              <w:rPr>
                <w:rFonts w:eastAsia="Calibri"/>
                <w:b/>
                <w:bCs/>
                <w:color w:val="010205"/>
              </w:rPr>
              <w:t xml:space="preserve"> Location of residence</w:t>
            </w:r>
            <w:bookmarkEnd w:id="99"/>
          </w:p>
          <w:p w14:paraId="4302E1EC" w14:textId="5FEAB8F4" w:rsidR="00112F64" w:rsidRPr="00226B80" w:rsidRDefault="00112F64" w:rsidP="002B358B">
            <w:pPr>
              <w:autoSpaceDE w:val="0"/>
              <w:autoSpaceDN w:val="0"/>
              <w:adjustRightInd w:val="0"/>
              <w:spacing w:line="360" w:lineRule="auto"/>
              <w:ind w:right="60"/>
              <w:jc w:val="both"/>
              <w:rPr>
                <w:rFonts w:eastAsia="Calibri"/>
                <w:color w:val="010205"/>
              </w:rPr>
            </w:pPr>
          </w:p>
        </w:tc>
      </w:tr>
      <w:tr w:rsidR="00112F64" w:rsidRPr="00226B80" w14:paraId="20AE3097" w14:textId="77777777" w:rsidTr="00226B80">
        <w:tc>
          <w:tcPr>
            <w:tcW w:w="3197" w:type="dxa"/>
            <w:gridSpan w:val="2"/>
          </w:tcPr>
          <w:p w14:paraId="3D22A040" w14:textId="77777777" w:rsidR="00112F64" w:rsidRPr="00226B80" w:rsidRDefault="00112F64" w:rsidP="002B358B">
            <w:pPr>
              <w:autoSpaceDE w:val="0"/>
              <w:autoSpaceDN w:val="0"/>
              <w:adjustRightInd w:val="0"/>
              <w:spacing w:line="360" w:lineRule="auto"/>
              <w:jc w:val="both"/>
              <w:rPr>
                <w:rFonts w:eastAsia="Calibri"/>
              </w:rPr>
            </w:pPr>
          </w:p>
        </w:tc>
        <w:tc>
          <w:tcPr>
            <w:tcW w:w="1568" w:type="dxa"/>
          </w:tcPr>
          <w:p w14:paraId="746A990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Frequency</w:t>
            </w:r>
          </w:p>
        </w:tc>
        <w:tc>
          <w:tcPr>
            <w:tcW w:w="630" w:type="dxa"/>
          </w:tcPr>
          <w:p w14:paraId="387DA35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Percent</w:t>
            </w:r>
          </w:p>
        </w:tc>
        <w:tc>
          <w:tcPr>
            <w:tcW w:w="1399" w:type="dxa"/>
          </w:tcPr>
          <w:p w14:paraId="46EF4B5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 Percent</w:t>
            </w:r>
          </w:p>
        </w:tc>
        <w:tc>
          <w:tcPr>
            <w:tcW w:w="1476" w:type="dxa"/>
          </w:tcPr>
          <w:p w14:paraId="652A3E8A"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Cumulative Percent</w:t>
            </w:r>
          </w:p>
        </w:tc>
      </w:tr>
      <w:tr w:rsidR="00112F64" w:rsidRPr="00226B80" w14:paraId="12513C4F" w14:textId="77777777" w:rsidTr="00226B80">
        <w:tc>
          <w:tcPr>
            <w:tcW w:w="805" w:type="dxa"/>
            <w:vMerge w:val="restart"/>
          </w:tcPr>
          <w:p w14:paraId="558ADF6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w:t>
            </w:r>
          </w:p>
        </w:tc>
        <w:tc>
          <w:tcPr>
            <w:tcW w:w="2392" w:type="dxa"/>
          </w:tcPr>
          <w:p w14:paraId="4BA873D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Northern suburbs</w:t>
            </w:r>
          </w:p>
        </w:tc>
        <w:tc>
          <w:tcPr>
            <w:tcW w:w="1568" w:type="dxa"/>
          </w:tcPr>
          <w:p w14:paraId="1871C72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18</w:t>
            </w:r>
          </w:p>
        </w:tc>
        <w:tc>
          <w:tcPr>
            <w:tcW w:w="630" w:type="dxa"/>
          </w:tcPr>
          <w:p w14:paraId="5FF1927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20.0</w:t>
            </w:r>
          </w:p>
        </w:tc>
        <w:tc>
          <w:tcPr>
            <w:tcW w:w="1399" w:type="dxa"/>
          </w:tcPr>
          <w:p w14:paraId="518C7F4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20.0</w:t>
            </w:r>
          </w:p>
        </w:tc>
        <w:tc>
          <w:tcPr>
            <w:tcW w:w="1476" w:type="dxa"/>
          </w:tcPr>
          <w:p w14:paraId="15FC7CE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20.0</w:t>
            </w:r>
          </w:p>
        </w:tc>
      </w:tr>
      <w:tr w:rsidR="00112F64" w:rsidRPr="00226B80" w14:paraId="52048FEC" w14:textId="77777777" w:rsidTr="00226B80">
        <w:tc>
          <w:tcPr>
            <w:tcW w:w="805" w:type="dxa"/>
            <w:vMerge/>
          </w:tcPr>
          <w:p w14:paraId="51835C9E" w14:textId="77777777" w:rsidR="00112F64" w:rsidRPr="00226B80" w:rsidRDefault="00112F64" w:rsidP="002B358B">
            <w:pPr>
              <w:autoSpaceDE w:val="0"/>
              <w:autoSpaceDN w:val="0"/>
              <w:adjustRightInd w:val="0"/>
              <w:spacing w:line="360" w:lineRule="auto"/>
              <w:jc w:val="both"/>
              <w:rPr>
                <w:rFonts w:eastAsia="Calibri"/>
              </w:rPr>
            </w:pPr>
          </w:p>
        </w:tc>
        <w:tc>
          <w:tcPr>
            <w:tcW w:w="2392" w:type="dxa"/>
          </w:tcPr>
          <w:p w14:paraId="378502E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Southern suburbs</w:t>
            </w:r>
          </w:p>
        </w:tc>
        <w:tc>
          <w:tcPr>
            <w:tcW w:w="1568" w:type="dxa"/>
          </w:tcPr>
          <w:p w14:paraId="04CD01C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26</w:t>
            </w:r>
          </w:p>
        </w:tc>
        <w:tc>
          <w:tcPr>
            <w:tcW w:w="630" w:type="dxa"/>
          </w:tcPr>
          <w:p w14:paraId="47CB03E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28.9</w:t>
            </w:r>
          </w:p>
        </w:tc>
        <w:tc>
          <w:tcPr>
            <w:tcW w:w="1399" w:type="dxa"/>
          </w:tcPr>
          <w:p w14:paraId="52621E2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28.9</w:t>
            </w:r>
          </w:p>
        </w:tc>
        <w:tc>
          <w:tcPr>
            <w:tcW w:w="1476" w:type="dxa"/>
          </w:tcPr>
          <w:p w14:paraId="192C429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48.9</w:t>
            </w:r>
          </w:p>
        </w:tc>
      </w:tr>
      <w:tr w:rsidR="00112F64" w:rsidRPr="00226B80" w14:paraId="53B6BF14" w14:textId="77777777" w:rsidTr="00226B80">
        <w:tc>
          <w:tcPr>
            <w:tcW w:w="805" w:type="dxa"/>
            <w:vMerge/>
          </w:tcPr>
          <w:p w14:paraId="1412397D" w14:textId="77777777" w:rsidR="00112F64" w:rsidRPr="00226B80" w:rsidRDefault="00112F64" w:rsidP="002B358B">
            <w:pPr>
              <w:autoSpaceDE w:val="0"/>
              <w:autoSpaceDN w:val="0"/>
              <w:adjustRightInd w:val="0"/>
              <w:spacing w:line="360" w:lineRule="auto"/>
              <w:jc w:val="both"/>
              <w:rPr>
                <w:rFonts w:eastAsia="Calibri"/>
              </w:rPr>
            </w:pPr>
          </w:p>
        </w:tc>
        <w:tc>
          <w:tcPr>
            <w:tcW w:w="2392" w:type="dxa"/>
          </w:tcPr>
          <w:p w14:paraId="1A34215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Western suburbs</w:t>
            </w:r>
          </w:p>
        </w:tc>
        <w:tc>
          <w:tcPr>
            <w:tcW w:w="1568" w:type="dxa"/>
          </w:tcPr>
          <w:p w14:paraId="5CEFD18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30</w:t>
            </w:r>
          </w:p>
        </w:tc>
        <w:tc>
          <w:tcPr>
            <w:tcW w:w="630" w:type="dxa"/>
          </w:tcPr>
          <w:p w14:paraId="774640D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33.3</w:t>
            </w:r>
          </w:p>
        </w:tc>
        <w:tc>
          <w:tcPr>
            <w:tcW w:w="1399" w:type="dxa"/>
          </w:tcPr>
          <w:p w14:paraId="5D31A023"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33.3</w:t>
            </w:r>
          </w:p>
        </w:tc>
        <w:tc>
          <w:tcPr>
            <w:tcW w:w="1476" w:type="dxa"/>
          </w:tcPr>
          <w:p w14:paraId="53D955A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82.2</w:t>
            </w:r>
          </w:p>
        </w:tc>
      </w:tr>
      <w:tr w:rsidR="00112F64" w:rsidRPr="00226B80" w14:paraId="3CD5BF91" w14:textId="77777777" w:rsidTr="00226B80">
        <w:tc>
          <w:tcPr>
            <w:tcW w:w="805" w:type="dxa"/>
            <w:vMerge/>
          </w:tcPr>
          <w:p w14:paraId="24CD47F2" w14:textId="77777777" w:rsidR="00112F64" w:rsidRPr="00226B80" w:rsidRDefault="00112F64" w:rsidP="002B358B">
            <w:pPr>
              <w:autoSpaceDE w:val="0"/>
              <w:autoSpaceDN w:val="0"/>
              <w:adjustRightInd w:val="0"/>
              <w:spacing w:line="360" w:lineRule="auto"/>
              <w:jc w:val="both"/>
              <w:rPr>
                <w:rFonts w:eastAsia="Calibri"/>
              </w:rPr>
            </w:pPr>
          </w:p>
        </w:tc>
        <w:tc>
          <w:tcPr>
            <w:tcW w:w="2392" w:type="dxa"/>
          </w:tcPr>
          <w:p w14:paraId="724DD50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Eastern suburbs</w:t>
            </w:r>
          </w:p>
        </w:tc>
        <w:tc>
          <w:tcPr>
            <w:tcW w:w="1568" w:type="dxa"/>
          </w:tcPr>
          <w:p w14:paraId="2EF307C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w:t>
            </w:r>
          </w:p>
        </w:tc>
        <w:tc>
          <w:tcPr>
            <w:tcW w:w="630" w:type="dxa"/>
          </w:tcPr>
          <w:p w14:paraId="3C7F003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399" w:type="dxa"/>
          </w:tcPr>
          <w:p w14:paraId="6F3909E9"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476" w:type="dxa"/>
          </w:tcPr>
          <w:p w14:paraId="7A3E231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88.9</w:t>
            </w:r>
          </w:p>
        </w:tc>
      </w:tr>
      <w:tr w:rsidR="00112F64" w:rsidRPr="00226B80" w14:paraId="496AC758" w14:textId="77777777" w:rsidTr="00226B80">
        <w:tc>
          <w:tcPr>
            <w:tcW w:w="805" w:type="dxa"/>
            <w:vMerge/>
          </w:tcPr>
          <w:p w14:paraId="6F22E1C8" w14:textId="77777777" w:rsidR="00112F64" w:rsidRPr="00226B80" w:rsidRDefault="00112F64" w:rsidP="002B358B">
            <w:pPr>
              <w:autoSpaceDE w:val="0"/>
              <w:autoSpaceDN w:val="0"/>
              <w:adjustRightInd w:val="0"/>
              <w:spacing w:line="360" w:lineRule="auto"/>
              <w:jc w:val="both"/>
              <w:rPr>
                <w:rFonts w:eastAsia="Calibri"/>
                <w:color w:val="010205"/>
              </w:rPr>
            </w:pPr>
          </w:p>
        </w:tc>
        <w:tc>
          <w:tcPr>
            <w:tcW w:w="2392" w:type="dxa"/>
          </w:tcPr>
          <w:p w14:paraId="283CBA2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Do not stay in Harare but work in Harare</w:t>
            </w:r>
          </w:p>
        </w:tc>
        <w:tc>
          <w:tcPr>
            <w:tcW w:w="1568" w:type="dxa"/>
          </w:tcPr>
          <w:p w14:paraId="3CBD6339"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10</w:t>
            </w:r>
          </w:p>
        </w:tc>
        <w:tc>
          <w:tcPr>
            <w:tcW w:w="630" w:type="dxa"/>
          </w:tcPr>
          <w:p w14:paraId="48945660"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11.1</w:t>
            </w:r>
          </w:p>
        </w:tc>
        <w:tc>
          <w:tcPr>
            <w:tcW w:w="1399" w:type="dxa"/>
          </w:tcPr>
          <w:p w14:paraId="7DC28474"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11.1</w:t>
            </w:r>
          </w:p>
        </w:tc>
        <w:tc>
          <w:tcPr>
            <w:tcW w:w="1476" w:type="dxa"/>
          </w:tcPr>
          <w:p w14:paraId="2A603F57"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100.0</w:t>
            </w:r>
          </w:p>
        </w:tc>
      </w:tr>
      <w:tr w:rsidR="00112F64" w:rsidRPr="00226B80" w14:paraId="52ABBDE9" w14:textId="77777777" w:rsidTr="00226B80">
        <w:tc>
          <w:tcPr>
            <w:tcW w:w="805" w:type="dxa"/>
            <w:vMerge/>
          </w:tcPr>
          <w:p w14:paraId="206E5389" w14:textId="77777777" w:rsidR="00112F64" w:rsidRPr="00226B80" w:rsidRDefault="00112F64" w:rsidP="002B358B">
            <w:pPr>
              <w:autoSpaceDE w:val="0"/>
              <w:autoSpaceDN w:val="0"/>
              <w:adjustRightInd w:val="0"/>
              <w:spacing w:line="360" w:lineRule="auto"/>
              <w:jc w:val="both"/>
              <w:rPr>
                <w:rFonts w:eastAsia="Calibri"/>
                <w:color w:val="010205"/>
              </w:rPr>
            </w:pPr>
          </w:p>
        </w:tc>
        <w:tc>
          <w:tcPr>
            <w:tcW w:w="2392" w:type="dxa"/>
          </w:tcPr>
          <w:p w14:paraId="43877D1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Total</w:t>
            </w:r>
          </w:p>
        </w:tc>
        <w:tc>
          <w:tcPr>
            <w:tcW w:w="1568" w:type="dxa"/>
          </w:tcPr>
          <w:p w14:paraId="3FD5EE43"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90</w:t>
            </w:r>
          </w:p>
        </w:tc>
        <w:tc>
          <w:tcPr>
            <w:tcW w:w="630" w:type="dxa"/>
          </w:tcPr>
          <w:p w14:paraId="0D224833"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100.0</w:t>
            </w:r>
          </w:p>
        </w:tc>
        <w:tc>
          <w:tcPr>
            <w:tcW w:w="1399" w:type="dxa"/>
          </w:tcPr>
          <w:p w14:paraId="7738876B" w14:textId="77777777" w:rsidR="00112F64" w:rsidRPr="00226B80" w:rsidRDefault="00112F64" w:rsidP="002B358B">
            <w:pPr>
              <w:autoSpaceDE w:val="0"/>
              <w:autoSpaceDN w:val="0"/>
              <w:adjustRightInd w:val="0"/>
              <w:spacing w:line="360" w:lineRule="auto"/>
              <w:ind w:right="60"/>
              <w:jc w:val="both"/>
              <w:rPr>
                <w:rFonts w:eastAsia="Calibri"/>
                <w:color w:val="010205"/>
              </w:rPr>
            </w:pPr>
            <w:r w:rsidRPr="00226B80">
              <w:rPr>
                <w:rFonts w:eastAsia="Calibri"/>
                <w:color w:val="010205"/>
              </w:rPr>
              <w:t>100.0</w:t>
            </w:r>
          </w:p>
        </w:tc>
        <w:tc>
          <w:tcPr>
            <w:tcW w:w="1476" w:type="dxa"/>
          </w:tcPr>
          <w:p w14:paraId="4EB00B3B" w14:textId="77777777" w:rsidR="00112F64" w:rsidRPr="00226B80" w:rsidRDefault="00112F64" w:rsidP="002B358B">
            <w:pPr>
              <w:autoSpaceDE w:val="0"/>
              <w:autoSpaceDN w:val="0"/>
              <w:adjustRightInd w:val="0"/>
              <w:spacing w:line="360" w:lineRule="auto"/>
              <w:jc w:val="both"/>
              <w:rPr>
                <w:rFonts w:eastAsia="Calibri"/>
              </w:rPr>
            </w:pPr>
          </w:p>
        </w:tc>
      </w:tr>
    </w:tbl>
    <w:p w14:paraId="21A16791" w14:textId="77777777" w:rsidR="00112F64" w:rsidRPr="00112F64" w:rsidRDefault="00112F64" w:rsidP="002B358B">
      <w:pPr>
        <w:autoSpaceDE w:val="0"/>
        <w:autoSpaceDN w:val="0"/>
        <w:adjustRightInd w:val="0"/>
        <w:spacing w:line="360" w:lineRule="auto"/>
        <w:jc w:val="both"/>
        <w:rPr>
          <w:rFonts w:eastAsia="Calibri"/>
        </w:rPr>
      </w:pPr>
    </w:p>
    <w:p w14:paraId="7F3161DE" w14:textId="77777777" w:rsidR="00112F64" w:rsidRPr="00112F64" w:rsidRDefault="00112F64" w:rsidP="002B358B">
      <w:pPr>
        <w:spacing w:line="360" w:lineRule="auto"/>
        <w:jc w:val="both"/>
        <w:rPr>
          <w:rFonts w:eastAsia="Calibri"/>
          <w:b/>
          <w:bCs/>
          <w:color w:val="010205"/>
        </w:rPr>
      </w:pPr>
    </w:p>
    <w:p w14:paraId="24847F01" w14:textId="77777777" w:rsidR="00112F64" w:rsidRPr="00112F64" w:rsidRDefault="00112F64" w:rsidP="002B358B">
      <w:pPr>
        <w:spacing w:line="360" w:lineRule="auto"/>
        <w:jc w:val="both"/>
        <w:rPr>
          <w:rFonts w:eastAsia="Calibri"/>
        </w:rPr>
      </w:pPr>
      <w:r w:rsidRPr="00112F64">
        <w:rPr>
          <w:rFonts w:eastAsia="Calibri"/>
          <w:b/>
          <w:bCs/>
          <w:color w:val="010205"/>
        </w:rPr>
        <w:t>Occupation</w:t>
      </w:r>
    </w:p>
    <w:p w14:paraId="0A091EDC" w14:textId="77777777" w:rsidR="00112F64" w:rsidRPr="00112F64" w:rsidRDefault="00112F64" w:rsidP="002B358B">
      <w:pPr>
        <w:spacing w:line="360" w:lineRule="auto"/>
        <w:jc w:val="both"/>
        <w:rPr>
          <w:rFonts w:eastAsia="Calibri"/>
        </w:rPr>
      </w:pPr>
      <w:r w:rsidRPr="00112F64">
        <w:rPr>
          <w:rFonts w:eastAsia="Calibri"/>
        </w:rPr>
        <w:t>In the Table 4.18 below; Students (12, 13.3%), Employed in Public Sector (42, 46.7%), Employed in Private Sector (24, 26.7%), Self-employed (8, 8.9%), and Unemployed (4, 4.4%), with valid percentages based on non-missing data and a cumulative percent showing running total (e.g., 13.3% students + 46.7% public sector = 60.0%). The largest group is public-sector employees, followed by private-sector employees, self-employed, students, and unemployed. The table provides a complete 100% breakdown of the sample and can be used to compare categories, calculate proportions, and analyse trends in occupational status.</w:t>
      </w:r>
    </w:p>
    <w:p w14:paraId="1E1F5D24" w14:textId="1A870058" w:rsidR="00240CC8" w:rsidRPr="00226B80" w:rsidRDefault="000E360F" w:rsidP="002B358B">
      <w:pPr>
        <w:spacing w:line="360" w:lineRule="auto"/>
        <w:jc w:val="both"/>
        <w:rPr>
          <w:rFonts w:eastAsia="Calibri"/>
          <w:b/>
          <w:bCs/>
          <w:color w:val="010205"/>
          <w:sz w:val="22"/>
          <w:szCs w:val="22"/>
        </w:rPr>
      </w:pPr>
      <w:r w:rsidRPr="00226B80">
        <w:rPr>
          <w:rFonts w:eastAsia="Calibri"/>
          <w:b/>
          <w:bCs/>
        </w:rPr>
        <w:t>Table 4.14</w:t>
      </w:r>
      <w:bookmarkStart w:id="100" w:name="_Hlk215425209"/>
      <w:r w:rsidRPr="00226B80">
        <w:rPr>
          <w:rFonts w:eastAsia="Calibri"/>
          <w:b/>
          <w:bCs/>
          <w:color w:val="010205"/>
          <w:sz w:val="22"/>
          <w:szCs w:val="22"/>
        </w:rPr>
        <w:t xml:space="preserve"> Current occupation</w:t>
      </w:r>
      <w:bookmarkEnd w:id="100"/>
    </w:p>
    <w:tbl>
      <w:tblPr>
        <w:tblStyle w:val="TableGrid"/>
        <w:tblW w:w="8270" w:type="dxa"/>
        <w:tblLayout w:type="fixed"/>
        <w:tblLook w:val="0000" w:firstRow="0" w:lastRow="0" w:firstColumn="0" w:lastColumn="0" w:noHBand="0" w:noVBand="0"/>
      </w:tblPr>
      <w:tblGrid>
        <w:gridCol w:w="985"/>
        <w:gridCol w:w="2212"/>
        <w:gridCol w:w="1169"/>
        <w:gridCol w:w="1029"/>
        <w:gridCol w:w="1399"/>
        <w:gridCol w:w="1476"/>
      </w:tblGrid>
      <w:tr w:rsidR="00112F64" w:rsidRPr="00112F64" w14:paraId="606D5FDB" w14:textId="77777777" w:rsidTr="00226B80">
        <w:tc>
          <w:tcPr>
            <w:tcW w:w="8270" w:type="dxa"/>
            <w:gridSpan w:val="6"/>
          </w:tcPr>
          <w:p w14:paraId="41D6970B" w14:textId="3470A7F3" w:rsidR="00112F64" w:rsidRPr="00226B80" w:rsidRDefault="00112F64" w:rsidP="002B358B">
            <w:pPr>
              <w:autoSpaceDE w:val="0"/>
              <w:autoSpaceDN w:val="0"/>
              <w:adjustRightInd w:val="0"/>
              <w:spacing w:line="360" w:lineRule="auto"/>
              <w:ind w:right="60"/>
              <w:jc w:val="both"/>
              <w:rPr>
                <w:rFonts w:eastAsia="Calibri"/>
              </w:rPr>
            </w:pPr>
          </w:p>
        </w:tc>
      </w:tr>
      <w:tr w:rsidR="00112F64" w:rsidRPr="00112F64" w14:paraId="5FEB1191" w14:textId="77777777" w:rsidTr="00226B80">
        <w:tc>
          <w:tcPr>
            <w:tcW w:w="3197" w:type="dxa"/>
            <w:gridSpan w:val="2"/>
          </w:tcPr>
          <w:p w14:paraId="5F032CBF" w14:textId="77777777" w:rsidR="00112F64" w:rsidRPr="00226B80" w:rsidRDefault="00112F64" w:rsidP="002B358B">
            <w:pPr>
              <w:autoSpaceDE w:val="0"/>
              <w:autoSpaceDN w:val="0"/>
              <w:adjustRightInd w:val="0"/>
              <w:spacing w:line="360" w:lineRule="auto"/>
              <w:jc w:val="both"/>
              <w:rPr>
                <w:rFonts w:eastAsia="Calibri"/>
              </w:rPr>
            </w:pPr>
          </w:p>
        </w:tc>
        <w:tc>
          <w:tcPr>
            <w:tcW w:w="1169" w:type="dxa"/>
          </w:tcPr>
          <w:p w14:paraId="17D89393"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Frequency</w:t>
            </w:r>
          </w:p>
        </w:tc>
        <w:tc>
          <w:tcPr>
            <w:tcW w:w="1029" w:type="dxa"/>
          </w:tcPr>
          <w:p w14:paraId="6AA22F5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Percent</w:t>
            </w:r>
          </w:p>
        </w:tc>
        <w:tc>
          <w:tcPr>
            <w:tcW w:w="1399" w:type="dxa"/>
          </w:tcPr>
          <w:p w14:paraId="6AFFEF2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 Percent</w:t>
            </w:r>
          </w:p>
        </w:tc>
        <w:tc>
          <w:tcPr>
            <w:tcW w:w="1476" w:type="dxa"/>
          </w:tcPr>
          <w:p w14:paraId="7785B7DA"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Cumulative Percent</w:t>
            </w:r>
          </w:p>
        </w:tc>
      </w:tr>
      <w:tr w:rsidR="00112F64" w:rsidRPr="00112F64" w14:paraId="4A25A52D" w14:textId="77777777" w:rsidTr="00226B80">
        <w:tc>
          <w:tcPr>
            <w:tcW w:w="985" w:type="dxa"/>
            <w:vMerge w:val="restart"/>
          </w:tcPr>
          <w:p w14:paraId="580DCCC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w:t>
            </w:r>
          </w:p>
        </w:tc>
        <w:tc>
          <w:tcPr>
            <w:tcW w:w="2212" w:type="dxa"/>
          </w:tcPr>
          <w:p w14:paraId="2474E33A"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Students</w:t>
            </w:r>
          </w:p>
        </w:tc>
        <w:tc>
          <w:tcPr>
            <w:tcW w:w="1169" w:type="dxa"/>
          </w:tcPr>
          <w:p w14:paraId="333DFD1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12</w:t>
            </w:r>
          </w:p>
        </w:tc>
        <w:tc>
          <w:tcPr>
            <w:tcW w:w="1029" w:type="dxa"/>
          </w:tcPr>
          <w:p w14:paraId="6C24219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13.3</w:t>
            </w:r>
          </w:p>
        </w:tc>
        <w:tc>
          <w:tcPr>
            <w:tcW w:w="1399" w:type="dxa"/>
          </w:tcPr>
          <w:p w14:paraId="412998D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13.3</w:t>
            </w:r>
          </w:p>
        </w:tc>
        <w:tc>
          <w:tcPr>
            <w:tcW w:w="1476" w:type="dxa"/>
          </w:tcPr>
          <w:p w14:paraId="73D8403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13.3</w:t>
            </w:r>
          </w:p>
        </w:tc>
      </w:tr>
      <w:tr w:rsidR="00112F64" w:rsidRPr="00112F64" w14:paraId="2FBDB6CC" w14:textId="77777777" w:rsidTr="00226B80">
        <w:tc>
          <w:tcPr>
            <w:tcW w:w="985" w:type="dxa"/>
            <w:vMerge/>
          </w:tcPr>
          <w:p w14:paraId="213E8598"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7697CE5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Employed (Public Sector)</w:t>
            </w:r>
          </w:p>
        </w:tc>
        <w:tc>
          <w:tcPr>
            <w:tcW w:w="1169" w:type="dxa"/>
          </w:tcPr>
          <w:p w14:paraId="38D2D8C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42</w:t>
            </w:r>
          </w:p>
        </w:tc>
        <w:tc>
          <w:tcPr>
            <w:tcW w:w="1029" w:type="dxa"/>
          </w:tcPr>
          <w:p w14:paraId="0BD45FE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46.7</w:t>
            </w:r>
          </w:p>
        </w:tc>
        <w:tc>
          <w:tcPr>
            <w:tcW w:w="1399" w:type="dxa"/>
          </w:tcPr>
          <w:p w14:paraId="6D6F1D0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46.7</w:t>
            </w:r>
          </w:p>
        </w:tc>
        <w:tc>
          <w:tcPr>
            <w:tcW w:w="1476" w:type="dxa"/>
          </w:tcPr>
          <w:p w14:paraId="5ABA14D3"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60.0</w:t>
            </w:r>
          </w:p>
        </w:tc>
      </w:tr>
      <w:tr w:rsidR="00112F64" w:rsidRPr="00112F64" w14:paraId="76042F95" w14:textId="77777777" w:rsidTr="00226B80">
        <w:tc>
          <w:tcPr>
            <w:tcW w:w="985" w:type="dxa"/>
            <w:vMerge/>
          </w:tcPr>
          <w:p w14:paraId="1C1A8947"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4111221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Employed (Private Sector)</w:t>
            </w:r>
          </w:p>
        </w:tc>
        <w:tc>
          <w:tcPr>
            <w:tcW w:w="1169" w:type="dxa"/>
          </w:tcPr>
          <w:p w14:paraId="49568AA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17</w:t>
            </w:r>
          </w:p>
        </w:tc>
        <w:tc>
          <w:tcPr>
            <w:tcW w:w="1029" w:type="dxa"/>
          </w:tcPr>
          <w:p w14:paraId="1811F38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18.9</w:t>
            </w:r>
          </w:p>
        </w:tc>
        <w:tc>
          <w:tcPr>
            <w:tcW w:w="1399" w:type="dxa"/>
          </w:tcPr>
          <w:p w14:paraId="03B820C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18.9</w:t>
            </w:r>
          </w:p>
        </w:tc>
        <w:tc>
          <w:tcPr>
            <w:tcW w:w="1476" w:type="dxa"/>
          </w:tcPr>
          <w:p w14:paraId="49CDC4D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78.9</w:t>
            </w:r>
          </w:p>
        </w:tc>
      </w:tr>
      <w:tr w:rsidR="00112F64" w:rsidRPr="00112F64" w14:paraId="67E071D5" w14:textId="77777777" w:rsidTr="00226B80">
        <w:tc>
          <w:tcPr>
            <w:tcW w:w="985" w:type="dxa"/>
            <w:vMerge/>
          </w:tcPr>
          <w:p w14:paraId="19A26709"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06577A2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Self-employed</w:t>
            </w:r>
          </w:p>
        </w:tc>
        <w:tc>
          <w:tcPr>
            <w:tcW w:w="1169" w:type="dxa"/>
          </w:tcPr>
          <w:p w14:paraId="64F5A7E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13</w:t>
            </w:r>
          </w:p>
        </w:tc>
        <w:tc>
          <w:tcPr>
            <w:tcW w:w="1029" w:type="dxa"/>
          </w:tcPr>
          <w:p w14:paraId="3F37D15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14.4</w:t>
            </w:r>
          </w:p>
        </w:tc>
        <w:tc>
          <w:tcPr>
            <w:tcW w:w="1399" w:type="dxa"/>
          </w:tcPr>
          <w:p w14:paraId="5B66D0D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14.4</w:t>
            </w:r>
          </w:p>
        </w:tc>
        <w:tc>
          <w:tcPr>
            <w:tcW w:w="1476" w:type="dxa"/>
          </w:tcPr>
          <w:p w14:paraId="1265D67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93.3</w:t>
            </w:r>
          </w:p>
        </w:tc>
      </w:tr>
      <w:tr w:rsidR="00112F64" w:rsidRPr="00112F64" w14:paraId="3AC6CAB8" w14:textId="77777777" w:rsidTr="00226B80">
        <w:tc>
          <w:tcPr>
            <w:tcW w:w="985" w:type="dxa"/>
            <w:vMerge/>
          </w:tcPr>
          <w:p w14:paraId="287BEED8"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35868E9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Unemployed</w:t>
            </w:r>
          </w:p>
        </w:tc>
        <w:tc>
          <w:tcPr>
            <w:tcW w:w="1169" w:type="dxa"/>
          </w:tcPr>
          <w:p w14:paraId="0619F514"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w:t>
            </w:r>
          </w:p>
        </w:tc>
        <w:tc>
          <w:tcPr>
            <w:tcW w:w="1029" w:type="dxa"/>
          </w:tcPr>
          <w:p w14:paraId="2CDBC42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399" w:type="dxa"/>
          </w:tcPr>
          <w:p w14:paraId="0600D56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476" w:type="dxa"/>
          </w:tcPr>
          <w:p w14:paraId="6906891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r>
      <w:tr w:rsidR="00112F64" w:rsidRPr="00112F64" w14:paraId="68BB597A" w14:textId="77777777" w:rsidTr="00226B80">
        <w:tc>
          <w:tcPr>
            <w:tcW w:w="985" w:type="dxa"/>
            <w:vMerge/>
          </w:tcPr>
          <w:p w14:paraId="775BBC9F"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1560206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Total</w:t>
            </w:r>
          </w:p>
        </w:tc>
        <w:tc>
          <w:tcPr>
            <w:tcW w:w="1169" w:type="dxa"/>
          </w:tcPr>
          <w:p w14:paraId="23C857B4"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90</w:t>
            </w:r>
          </w:p>
        </w:tc>
        <w:tc>
          <w:tcPr>
            <w:tcW w:w="1029" w:type="dxa"/>
          </w:tcPr>
          <w:p w14:paraId="57D95C0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c>
          <w:tcPr>
            <w:tcW w:w="1399" w:type="dxa"/>
          </w:tcPr>
          <w:p w14:paraId="48AC1E8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c>
          <w:tcPr>
            <w:tcW w:w="1476" w:type="dxa"/>
          </w:tcPr>
          <w:p w14:paraId="0E1C24C5" w14:textId="77777777" w:rsidR="00112F64" w:rsidRPr="00226B80" w:rsidRDefault="00112F64" w:rsidP="002B358B">
            <w:pPr>
              <w:autoSpaceDE w:val="0"/>
              <w:autoSpaceDN w:val="0"/>
              <w:adjustRightInd w:val="0"/>
              <w:spacing w:line="360" w:lineRule="auto"/>
              <w:jc w:val="both"/>
              <w:rPr>
                <w:rFonts w:eastAsia="Calibri"/>
              </w:rPr>
            </w:pPr>
          </w:p>
        </w:tc>
      </w:tr>
    </w:tbl>
    <w:p w14:paraId="76649B32" w14:textId="77777777" w:rsidR="00112F64" w:rsidRPr="00112F64" w:rsidRDefault="00112F64" w:rsidP="002B358B">
      <w:pPr>
        <w:autoSpaceDE w:val="0"/>
        <w:autoSpaceDN w:val="0"/>
        <w:adjustRightInd w:val="0"/>
        <w:spacing w:line="360" w:lineRule="auto"/>
        <w:jc w:val="both"/>
        <w:rPr>
          <w:rFonts w:eastAsia="Calibri"/>
        </w:rPr>
      </w:pPr>
    </w:p>
    <w:p w14:paraId="0CA2D35D" w14:textId="3264807E" w:rsidR="00112F64" w:rsidRPr="00112F64" w:rsidRDefault="00112F64" w:rsidP="002B358B">
      <w:pPr>
        <w:spacing w:line="360" w:lineRule="auto"/>
        <w:jc w:val="both"/>
        <w:rPr>
          <w:rFonts w:eastAsia="Calibri"/>
          <w:b/>
          <w:bCs/>
        </w:rPr>
      </w:pPr>
      <w:r w:rsidRPr="00112F64">
        <w:rPr>
          <w:rFonts w:eastAsia="Calibri"/>
          <w:b/>
          <w:bCs/>
        </w:rPr>
        <w:t>4.</w:t>
      </w:r>
      <w:r w:rsidR="00B560D5">
        <w:rPr>
          <w:rFonts w:eastAsia="Calibri"/>
          <w:b/>
          <w:bCs/>
        </w:rPr>
        <w:t>4</w:t>
      </w:r>
      <w:r w:rsidRPr="00112F64">
        <w:rPr>
          <w:rFonts w:eastAsia="Calibri"/>
          <w:b/>
          <w:bCs/>
        </w:rPr>
        <w:t>.2 Knowledge, Attitudes, and Practices</w:t>
      </w:r>
    </w:p>
    <w:p w14:paraId="5D93568C" w14:textId="77777777" w:rsidR="00112F64" w:rsidRPr="00112F64" w:rsidRDefault="00112F64">
      <w:pPr>
        <w:numPr>
          <w:ilvl w:val="0"/>
          <w:numId w:val="10"/>
        </w:numPr>
        <w:autoSpaceDE w:val="0"/>
        <w:autoSpaceDN w:val="0"/>
        <w:adjustRightInd w:val="0"/>
        <w:spacing w:line="360" w:lineRule="auto"/>
        <w:contextualSpacing/>
        <w:jc w:val="both"/>
        <w:rPr>
          <w:rFonts w:eastAsia="Calibri"/>
          <w:b/>
          <w:bCs/>
          <w:color w:val="010205"/>
        </w:rPr>
      </w:pPr>
      <w:r w:rsidRPr="00112F64">
        <w:rPr>
          <w:rFonts w:eastAsia="Calibri"/>
          <w:b/>
          <w:bCs/>
          <w:color w:val="010205"/>
        </w:rPr>
        <w:t>Residential fires</w:t>
      </w:r>
    </w:p>
    <w:p w14:paraId="786C28CD" w14:textId="77777777" w:rsidR="00112F64" w:rsidRPr="00112F64" w:rsidRDefault="00112F64" w:rsidP="002B358B">
      <w:pPr>
        <w:autoSpaceDE w:val="0"/>
        <w:autoSpaceDN w:val="0"/>
        <w:adjustRightInd w:val="0"/>
        <w:spacing w:line="360" w:lineRule="auto"/>
        <w:jc w:val="both"/>
        <w:rPr>
          <w:rFonts w:eastAsia="Calibri"/>
        </w:rPr>
      </w:pPr>
      <w:r w:rsidRPr="00112F64">
        <w:rPr>
          <w:rFonts w:eastAsia="Calibri"/>
          <w:color w:val="010205"/>
        </w:rPr>
        <w:t>The survey on</w:t>
      </w:r>
      <w:r w:rsidRPr="00112F64">
        <w:rPr>
          <w:rFonts w:eastAsia="Calibri"/>
          <w:b/>
          <w:bCs/>
          <w:color w:val="010205"/>
        </w:rPr>
        <w:t xml:space="preserve"> </w:t>
      </w:r>
      <w:r w:rsidRPr="00112F64">
        <w:rPr>
          <w:rFonts w:eastAsia="Calibri"/>
          <w:color w:val="010205"/>
        </w:rPr>
        <w:t>results Table 4.19</w:t>
      </w:r>
      <w:r w:rsidRPr="00112F64">
        <w:rPr>
          <w:rFonts w:eastAsia="Calibri"/>
        </w:rPr>
        <w:t xml:space="preserve"> </w:t>
      </w:r>
      <w:r w:rsidRPr="00112F64">
        <w:rPr>
          <w:rFonts w:eastAsia="Calibri"/>
          <w:color w:val="010205"/>
        </w:rPr>
        <w:t xml:space="preserve">indicate that the leading causes of residential fires in Harare are electrical faults (41.1%), gas leaks (20.0%), and cooking accidents (16.7%), with other causes like candles, faulty appliances, smoking, heating, and arson making up smaller shares.  Electrical faults and gas leaks together account for over 88.9% of fires, highlighting electrical wiring safety and gas leak detection as the primary prevention targets.  Overall, the data supports prioritizing safety measures and resource allocation toward electrical safety and gas leak prevention to effectively reduce fire incidents. </w:t>
      </w:r>
    </w:p>
    <w:p w14:paraId="6866288C" w14:textId="77777777" w:rsidR="00112F64" w:rsidRPr="00226B80" w:rsidRDefault="00112F64" w:rsidP="002B358B">
      <w:pPr>
        <w:autoSpaceDE w:val="0"/>
        <w:autoSpaceDN w:val="0"/>
        <w:adjustRightInd w:val="0"/>
        <w:spacing w:line="360" w:lineRule="auto"/>
        <w:jc w:val="both"/>
        <w:rPr>
          <w:rFonts w:eastAsia="Calibri"/>
          <w:b/>
          <w:bCs/>
          <w:color w:val="010205"/>
        </w:rPr>
      </w:pPr>
    </w:p>
    <w:p w14:paraId="4C3EA6AD" w14:textId="09A22151" w:rsidR="00240CC8" w:rsidRPr="00226B80" w:rsidRDefault="000E360F" w:rsidP="002B358B">
      <w:pPr>
        <w:autoSpaceDE w:val="0"/>
        <w:autoSpaceDN w:val="0"/>
        <w:adjustRightInd w:val="0"/>
        <w:spacing w:line="360" w:lineRule="auto"/>
        <w:jc w:val="both"/>
        <w:rPr>
          <w:rFonts w:eastAsia="Calibri"/>
          <w:b/>
          <w:bCs/>
          <w:color w:val="010205"/>
        </w:rPr>
      </w:pPr>
      <w:r w:rsidRPr="00226B80">
        <w:rPr>
          <w:rFonts w:eastAsia="Calibri"/>
          <w:b/>
          <w:bCs/>
          <w:color w:val="010205"/>
        </w:rPr>
        <w:t>Table 4.15residential fires</w:t>
      </w:r>
    </w:p>
    <w:p w14:paraId="34817187" w14:textId="77777777" w:rsidR="00240CC8" w:rsidRPr="00112F64" w:rsidRDefault="00240CC8" w:rsidP="002B358B">
      <w:pPr>
        <w:autoSpaceDE w:val="0"/>
        <w:autoSpaceDN w:val="0"/>
        <w:adjustRightInd w:val="0"/>
        <w:spacing w:line="360" w:lineRule="auto"/>
        <w:jc w:val="both"/>
        <w:rPr>
          <w:rFonts w:eastAsia="Calibri"/>
        </w:rPr>
      </w:pPr>
    </w:p>
    <w:tbl>
      <w:tblPr>
        <w:tblStyle w:val="TableGrid"/>
        <w:tblW w:w="8270" w:type="dxa"/>
        <w:tblLayout w:type="fixed"/>
        <w:tblLook w:val="0000" w:firstRow="0" w:lastRow="0" w:firstColumn="0" w:lastColumn="0" w:noHBand="0" w:noVBand="0"/>
      </w:tblPr>
      <w:tblGrid>
        <w:gridCol w:w="985"/>
        <w:gridCol w:w="2212"/>
        <w:gridCol w:w="1169"/>
        <w:gridCol w:w="1029"/>
        <w:gridCol w:w="1399"/>
        <w:gridCol w:w="1476"/>
      </w:tblGrid>
      <w:tr w:rsidR="00226B80" w:rsidRPr="00226B80" w14:paraId="1455D889" w14:textId="77777777" w:rsidTr="00226B80">
        <w:tc>
          <w:tcPr>
            <w:tcW w:w="3197" w:type="dxa"/>
            <w:gridSpan w:val="2"/>
          </w:tcPr>
          <w:p w14:paraId="50F22252" w14:textId="77777777" w:rsidR="00112F64" w:rsidRPr="00226B80" w:rsidRDefault="00112F64" w:rsidP="002B358B">
            <w:pPr>
              <w:autoSpaceDE w:val="0"/>
              <w:autoSpaceDN w:val="0"/>
              <w:adjustRightInd w:val="0"/>
              <w:spacing w:line="360" w:lineRule="auto"/>
              <w:jc w:val="both"/>
              <w:rPr>
                <w:rFonts w:eastAsia="Calibri"/>
              </w:rPr>
            </w:pPr>
          </w:p>
        </w:tc>
        <w:tc>
          <w:tcPr>
            <w:tcW w:w="1169" w:type="dxa"/>
          </w:tcPr>
          <w:p w14:paraId="741B90C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Frequency</w:t>
            </w:r>
          </w:p>
        </w:tc>
        <w:tc>
          <w:tcPr>
            <w:tcW w:w="1029" w:type="dxa"/>
          </w:tcPr>
          <w:p w14:paraId="608F3A0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Percent</w:t>
            </w:r>
          </w:p>
        </w:tc>
        <w:tc>
          <w:tcPr>
            <w:tcW w:w="1399" w:type="dxa"/>
          </w:tcPr>
          <w:p w14:paraId="71B2F17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 Percent</w:t>
            </w:r>
          </w:p>
        </w:tc>
        <w:tc>
          <w:tcPr>
            <w:tcW w:w="1476" w:type="dxa"/>
          </w:tcPr>
          <w:p w14:paraId="78E56B64"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Cumulative Percent</w:t>
            </w:r>
          </w:p>
        </w:tc>
      </w:tr>
      <w:tr w:rsidR="00226B80" w:rsidRPr="00226B80" w14:paraId="505BE2CB" w14:textId="77777777" w:rsidTr="00CA7F35">
        <w:tc>
          <w:tcPr>
            <w:tcW w:w="985" w:type="dxa"/>
            <w:vMerge w:val="restart"/>
          </w:tcPr>
          <w:p w14:paraId="3C60C754"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Valid</w:t>
            </w:r>
          </w:p>
        </w:tc>
        <w:tc>
          <w:tcPr>
            <w:tcW w:w="2212" w:type="dxa"/>
          </w:tcPr>
          <w:p w14:paraId="67CBA6E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Electrical faults (overloads, faulty wiring)</w:t>
            </w:r>
          </w:p>
        </w:tc>
        <w:tc>
          <w:tcPr>
            <w:tcW w:w="1169" w:type="dxa"/>
          </w:tcPr>
          <w:p w14:paraId="0ACEA70A"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37</w:t>
            </w:r>
          </w:p>
        </w:tc>
        <w:tc>
          <w:tcPr>
            <w:tcW w:w="1029" w:type="dxa"/>
          </w:tcPr>
          <w:p w14:paraId="34EAEA2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41.1</w:t>
            </w:r>
          </w:p>
        </w:tc>
        <w:tc>
          <w:tcPr>
            <w:tcW w:w="1399" w:type="dxa"/>
          </w:tcPr>
          <w:p w14:paraId="3326750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41.1</w:t>
            </w:r>
          </w:p>
        </w:tc>
        <w:tc>
          <w:tcPr>
            <w:tcW w:w="1476" w:type="dxa"/>
          </w:tcPr>
          <w:p w14:paraId="6564354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41.1</w:t>
            </w:r>
          </w:p>
        </w:tc>
      </w:tr>
      <w:tr w:rsidR="00226B80" w:rsidRPr="00226B80" w14:paraId="17A519E2" w14:textId="77777777" w:rsidTr="00CA7F35">
        <w:tc>
          <w:tcPr>
            <w:tcW w:w="985" w:type="dxa"/>
            <w:vMerge/>
          </w:tcPr>
          <w:p w14:paraId="701859F6"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714038D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 xml:space="preserve">Cooking accidents (unattended </w:t>
            </w:r>
            <w:r w:rsidRPr="00226B80">
              <w:rPr>
                <w:rFonts w:eastAsia="Calibri"/>
              </w:rPr>
              <w:lastRenderedPageBreak/>
              <w:t>cooking, open flames)</w:t>
            </w:r>
          </w:p>
        </w:tc>
        <w:tc>
          <w:tcPr>
            <w:tcW w:w="1169" w:type="dxa"/>
          </w:tcPr>
          <w:p w14:paraId="47D251E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lastRenderedPageBreak/>
              <w:t>15</w:t>
            </w:r>
          </w:p>
        </w:tc>
        <w:tc>
          <w:tcPr>
            <w:tcW w:w="1029" w:type="dxa"/>
          </w:tcPr>
          <w:p w14:paraId="6A9DAA44"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16.7</w:t>
            </w:r>
          </w:p>
        </w:tc>
        <w:tc>
          <w:tcPr>
            <w:tcW w:w="1399" w:type="dxa"/>
          </w:tcPr>
          <w:p w14:paraId="3D99E33F"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16.7</w:t>
            </w:r>
          </w:p>
        </w:tc>
        <w:tc>
          <w:tcPr>
            <w:tcW w:w="1476" w:type="dxa"/>
          </w:tcPr>
          <w:p w14:paraId="53AFBAF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57.8</w:t>
            </w:r>
          </w:p>
        </w:tc>
      </w:tr>
      <w:tr w:rsidR="00226B80" w:rsidRPr="00226B80" w14:paraId="2A09C099" w14:textId="77777777" w:rsidTr="00CA7F35">
        <w:tc>
          <w:tcPr>
            <w:tcW w:w="985" w:type="dxa"/>
            <w:vMerge/>
          </w:tcPr>
          <w:p w14:paraId="33DEBFC1"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036F21FD"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Heating equipment (oil heaters, stoves)</w:t>
            </w:r>
          </w:p>
        </w:tc>
        <w:tc>
          <w:tcPr>
            <w:tcW w:w="1169" w:type="dxa"/>
          </w:tcPr>
          <w:p w14:paraId="59779657"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5</w:t>
            </w:r>
          </w:p>
        </w:tc>
        <w:tc>
          <w:tcPr>
            <w:tcW w:w="1029" w:type="dxa"/>
          </w:tcPr>
          <w:p w14:paraId="5BCF609E"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5.6</w:t>
            </w:r>
          </w:p>
        </w:tc>
        <w:tc>
          <w:tcPr>
            <w:tcW w:w="1399" w:type="dxa"/>
          </w:tcPr>
          <w:p w14:paraId="3DBA858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5.6</w:t>
            </w:r>
          </w:p>
        </w:tc>
        <w:tc>
          <w:tcPr>
            <w:tcW w:w="1476" w:type="dxa"/>
          </w:tcPr>
          <w:p w14:paraId="37A0AC9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63.3</w:t>
            </w:r>
          </w:p>
        </w:tc>
      </w:tr>
      <w:tr w:rsidR="00226B80" w:rsidRPr="00226B80" w14:paraId="08ACA588" w14:textId="77777777" w:rsidTr="00CA7F35">
        <w:tc>
          <w:tcPr>
            <w:tcW w:w="985" w:type="dxa"/>
            <w:vMerge/>
          </w:tcPr>
          <w:p w14:paraId="532E79B5"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39000393"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Arson/vandalism</w:t>
            </w:r>
          </w:p>
        </w:tc>
        <w:tc>
          <w:tcPr>
            <w:tcW w:w="1169" w:type="dxa"/>
          </w:tcPr>
          <w:p w14:paraId="5095EAAE"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w:t>
            </w:r>
          </w:p>
        </w:tc>
        <w:tc>
          <w:tcPr>
            <w:tcW w:w="1029" w:type="dxa"/>
          </w:tcPr>
          <w:p w14:paraId="2258EB9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1.1</w:t>
            </w:r>
          </w:p>
        </w:tc>
        <w:tc>
          <w:tcPr>
            <w:tcW w:w="1399" w:type="dxa"/>
          </w:tcPr>
          <w:p w14:paraId="48535D5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1.1</w:t>
            </w:r>
          </w:p>
        </w:tc>
        <w:tc>
          <w:tcPr>
            <w:tcW w:w="1476" w:type="dxa"/>
          </w:tcPr>
          <w:p w14:paraId="4130D01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64.4</w:t>
            </w:r>
          </w:p>
        </w:tc>
      </w:tr>
      <w:tr w:rsidR="00226B80" w:rsidRPr="00226B80" w14:paraId="0D84AFE4" w14:textId="77777777" w:rsidTr="00CA7F35">
        <w:tc>
          <w:tcPr>
            <w:tcW w:w="985" w:type="dxa"/>
            <w:vMerge/>
          </w:tcPr>
          <w:p w14:paraId="62570056"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3EB4CA5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Smoking-related fires</w:t>
            </w:r>
          </w:p>
        </w:tc>
        <w:tc>
          <w:tcPr>
            <w:tcW w:w="1169" w:type="dxa"/>
          </w:tcPr>
          <w:p w14:paraId="38C36969"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w:t>
            </w:r>
          </w:p>
        </w:tc>
        <w:tc>
          <w:tcPr>
            <w:tcW w:w="1029" w:type="dxa"/>
          </w:tcPr>
          <w:p w14:paraId="3BAFBA03"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4.4</w:t>
            </w:r>
          </w:p>
        </w:tc>
        <w:tc>
          <w:tcPr>
            <w:tcW w:w="1399" w:type="dxa"/>
          </w:tcPr>
          <w:p w14:paraId="5F7FC8E6"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4.4</w:t>
            </w:r>
          </w:p>
        </w:tc>
        <w:tc>
          <w:tcPr>
            <w:tcW w:w="1476" w:type="dxa"/>
          </w:tcPr>
          <w:p w14:paraId="444B082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68.9</w:t>
            </w:r>
          </w:p>
        </w:tc>
      </w:tr>
      <w:tr w:rsidR="00226B80" w:rsidRPr="00226B80" w14:paraId="407F1502" w14:textId="77777777" w:rsidTr="00CA7F35">
        <w:tc>
          <w:tcPr>
            <w:tcW w:w="985" w:type="dxa"/>
            <w:vMerge/>
          </w:tcPr>
          <w:p w14:paraId="365C6AA3"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1273BA8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Gas leaks</w:t>
            </w:r>
          </w:p>
        </w:tc>
        <w:tc>
          <w:tcPr>
            <w:tcW w:w="1169" w:type="dxa"/>
          </w:tcPr>
          <w:p w14:paraId="7CC748D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18</w:t>
            </w:r>
          </w:p>
        </w:tc>
        <w:tc>
          <w:tcPr>
            <w:tcW w:w="1029" w:type="dxa"/>
          </w:tcPr>
          <w:p w14:paraId="0442801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20.0</w:t>
            </w:r>
          </w:p>
        </w:tc>
        <w:tc>
          <w:tcPr>
            <w:tcW w:w="1399" w:type="dxa"/>
          </w:tcPr>
          <w:p w14:paraId="0638519E"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20.0</w:t>
            </w:r>
          </w:p>
        </w:tc>
        <w:tc>
          <w:tcPr>
            <w:tcW w:w="1476" w:type="dxa"/>
          </w:tcPr>
          <w:p w14:paraId="399FBF6A"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88.9</w:t>
            </w:r>
          </w:p>
        </w:tc>
      </w:tr>
      <w:tr w:rsidR="00226B80" w:rsidRPr="00226B80" w14:paraId="1487FBC1" w14:textId="77777777" w:rsidTr="00CA7F35">
        <w:tc>
          <w:tcPr>
            <w:tcW w:w="985" w:type="dxa"/>
            <w:vMerge/>
          </w:tcPr>
          <w:p w14:paraId="6655BCD9"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023AC9D8"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Faulty appliances</w:t>
            </w:r>
          </w:p>
        </w:tc>
        <w:tc>
          <w:tcPr>
            <w:tcW w:w="1169" w:type="dxa"/>
          </w:tcPr>
          <w:p w14:paraId="245E245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w:t>
            </w:r>
          </w:p>
        </w:tc>
        <w:tc>
          <w:tcPr>
            <w:tcW w:w="1029" w:type="dxa"/>
          </w:tcPr>
          <w:p w14:paraId="4AA59C7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4.4</w:t>
            </w:r>
          </w:p>
        </w:tc>
        <w:tc>
          <w:tcPr>
            <w:tcW w:w="1399" w:type="dxa"/>
          </w:tcPr>
          <w:p w14:paraId="4E6F5C5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4.4</w:t>
            </w:r>
          </w:p>
        </w:tc>
        <w:tc>
          <w:tcPr>
            <w:tcW w:w="1476" w:type="dxa"/>
          </w:tcPr>
          <w:p w14:paraId="21354AEC"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93.3</w:t>
            </w:r>
          </w:p>
        </w:tc>
      </w:tr>
      <w:tr w:rsidR="00226B80" w:rsidRPr="00226B80" w14:paraId="31B86C8D" w14:textId="77777777" w:rsidTr="00CA7F35">
        <w:tc>
          <w:tcPr>
            <w:tcW w:w="985" w:type="dxa"/>
            <w:vMerge/>
          </w:tcPr>
          <w:p w14:paraId="3FD1E18C"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71C687CE"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Candles, lanterns</w:t>
            </w:r>
          </w:p>
        </w:tc>
        <w:tc>
          <w:tcPr>
            <w:tcW w:w="1169" w:type="dxa"/>
          </w:tcPr>
          <w:p w14:paraId="6854E2C5"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w:t>
            </w:r>
          </w:p>
        </w:tc>
        <w:tc>
          <w:tcPr>
            <w:tcW w:w="1029" w:type="dxa"/>
          </w:tcPr>
          <w:p w14:paraId="1B8C8000"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399" w:type="dxa"/>
          </w:tcPr>
          <w:p w14:paraId="7817511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6.7</w:t>
            </w:r>
          </w:p>
        </w:tc>
        <w:tc>
          <w:tcPr>
            <w:tcW w:w="1476" w:type="dxa"/>
          </w:tcPr>
          <w:p w14:paraId="318E0DE9"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r>
      <w:tr w:rsidR="00226B80" w:rsidRPr="00226B80" w14:paraId="32F513F5" w14:textId="77777777" w:rsidTr="00CA7F35">
        <w:tc>
          <w:tcPr>
            <w:tcW w:w="985" w:type="dxa"/>
            <w:vMerge/>
          </w:tcPr>
          <w:p w14:paraId="0B292CF3" w14:textId="77777777" w:rsidR="00112F64" w:rsidRPr="00226B80" w:rsidRDefault="00112F64" w:rsidP="002B358B">
            <w:pPr>
              <w:autoSpaceDE w:val="0"/>
              <w:autoSpaceDN w:val="0"/>
              <w:adjustRightInd w:val="0"/>
              <w:spacing w:line="360" w:lineRule="auto"/>
              <w:jc w:val="both"/>
              <w:rPr>
                <w:rFonts w:eastAsia="Calibri"/>
              </w:rPr>
            </w:pPr>
          </w:p>
        </w:tc>
        <w:tc>
          <w:tcPr>
            <w:tcW w:w="2212" w:type="dxa"/>
          </w:tcPr>
          <w:p w14:paraId="45AE23F1"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Total</w:t>
            </w:r>
          </w:p>
        </w:tc>
        <w:tc>
          <w:tcPr>
            <w:tcW w:w="1169" w:type="dxa"/>
          </w:tcPr>
          <w:p w14:paraId="44A5C13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90</w:t>
            </w:r>
          </w:p>
        </w:tc>
        <w:tc>
          <w:tcPr>
            <w:tcW w:w="1029" w:type="dxa"/>
          </w:tcPr>
          <w:p w14:paraId="25F1838B"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c>
          <w:tcPr>
            <w:tcW w:w="1399" w:type="dxa"/>
          </w:tcPr>
          <w:p w14:paraId="3D501FF2" w14:textId="77777777" w:rsidR="00112F64" w:rsidRPr="00226B80" w:rsidRDefault="00112F64" w:rsidP="002B358B">
            <w:pPr>
              <w:autoSpaceDE w:val="0"/>
              <w:autoSpaceDN w:val="0"/>
              <w:adjustRightInd w:val="0"/>
              <w:spacing w:line="360" w:lineRule="auto"/>
              <w:ind w:right="60"/>
              <w:jc w:val="both"/>
              <w:rPr>
                <w:rFonts w:eastAsia="Calibri"/>
              </w:rPr>
            </w:pPr>
            <w:r w:rsidRPr="00226B80">
              <w:rPr>
                <w:rFonts w:eastAsia="Calibri"/>
              </w:rPr>
              <w:t>100.0</w:t>
            </w:r>
          </w:p>
        </w:tc>
        <w:tc>
          <w:tcPr>
            <w:tcW w:w="1476" w:type="dxa"/>
          </w:tcPr>
          <w:p w14:paraId="45E66673" w14:textId="77777777" w:rsidR="00112F64" w:rsidRPr="00226B80" w:rsidRDefault="00112F64" w:rsidP="002B358B">
            <w:pPr>
              <w:autoSpaceDE w:val="0"/>
              <w:autoSpaceDN w:val="0"/>
              <w:adjustRightInd w:val="0"/>
              <w:spacing w:line="360" w:lineRule="auto"/>
              <w:jc w:val="both"/>
              <w:rPr>
                <w:rFonts w:eastAsia="Calibri"/>
              </w:rPr>
            </w:pPr>
          </w:p>
        </w:tc>
      </w:tr>
    </w:tbl>
    <w:p w14:paraId="7F0B7119" w14:textId="77777777" w:rsidR="00112F64" w:rsidRPr="00112F64" w:rsidRDefault="00112F64" w:rsidP="002B358B">
      <w:pPr>
        <w:spacing w:line="360" w:lineRule="auto"/>
        <w:jc w:val="both"/>
        <w:rPr>
          <w:rFonts w:eastAsia="Calibri"/>
        </w:rPr>
      </w:pPr>
    </w:p>
    <w:p w14:paraId="74FEB6C7" w14:textId="77777777" w:rsidR="00112F64" w:rsidRPr="00112F64" w:rsidRDefault="00112F64" w:rsidP="002B358B">
      <w:pPr>
        <w:spacing w:line="360" w:lineRule="auto"/>
        <w:jc w:val="both"/>
        <w:rPr>
          <w:rFonts w:eastAsia="Calibri"/>
        </w:rPr>
      </w:pPr>
      <w:r w:rsidRPr="00112F64">
        <w:rPr>
          <w:rFonts w:eastAsia="Calibri"/>
        </w:rPr>
        <w:t>Table 4.20 below shows that among the respondents, 14.4% never experienced a fire hazard, 38.9% experienced it 1–2 times, 15.6% 3–5 times, 26.7% more than 5 times, and 4.4% were unsure.  In total, 85% have experienced a fire hazard at least once (38.9% + 15.6% + 26.7%), with a substantial 26.7% reporting more than five incidents, while a minority (14.4%) have never experienced one.  The data indicate fire hazards are relatively common in this population, underscoring the need for preventive safety measures and ongoing risk education, particularly for those with frequent hazards.</w:t>
      </w:r>
    </w:p>
    <w:tbl>
      <w:tblPr>
        <w:tblStyle w:val="TableGrid"/>
        <w:tblW w:w="7609" w:type="dxa"/>
        <w:tblLayout w:type="fixed"/>
        <w:tblLook w:val="0000" w:firstRow="0" w:lastRow="0" w:firstColumn="0" w:lastColumn="0" w:noHBand="0" w:noVBand="0"/>
      </w:tblPr>
      <w:tblGrid>
        <w:gridCol w:w="1255"/>
        <w:gridCol w:w="1280"/>
        <w:gridCol w:w="1330"/>
        <w:gridCol w:w="869"/>
        <w:gridCol w:w="1399"/>
        <w:gridCol w:w="1476"/>
      </w:tblGrid>
      <w:tr w:rsidR="00CA7F35" w:rsidRPr="00CA7F35" w14:paraId="486036B4" w14:textId="77777777" w:rsidTr="00CA7F35">
        <w:tc>
          <w:tcPr>
            <w:tcW w:w="7609" w:type="dxa"/>
            <w:gridSpan w:val="6"/>
          </w:tcPr>
          <w:p w14:paraId="047F9825" w14:textId="3EB4AA1F" w:rsidR="00240CC8" w:rsidRPr="00CA7F35" w:rsidRDefault="000E360F" w:rsidP="002B358B">
            <w:pPr>
              <w:spacing w:line="360" w:lineRule="auto"/>
              <w:jc w:val="both"/>
              <w:rPr>
                <w:rFonts w:eastAsia="Calibri"/>
              </w:rPr>
            </w:pPr>
            <w:r w:rsidRPr="00CA7F35">
              <w:rPr>
                <w:rFonts w:eastAsia="Calibri"/>
              </w:rPr>
              <w:t>Table 4.16 Residential fire hazard experienced</w:t>
            </w:r>
          </w:p>
          <w:p w14:paraId="5D7B74A4" w14:textId="77777777" w:rsidR="00CA7F35" w:rsidRPr="00CA7F35" w:rsidRDefault="00CA7F35" w:rsidP="002B358B">
            <w:pPr>
              <w:spacing w:line="360" w:lineRule="auto"/>
              <w:jc w:val="both"/>
              <w:rPr>
                <w:rFonts w:eastAsia="Calibri"/>
              </w:rPr>
            </w:pPr>
          </w:p>
          <w:p w14:paraId="053B20A6" w14:textId="3D1337D0" w:rsidR="00112F64" w:rsidRPr="00CA7F35" w:rsidRDefault="00112F64" w:rsidP="002B358B">
            <w:pPr>
              <w:autoSpaceDE w:val="0"/>
              <w:autoSpaceDN w:val="0"/>
              <w:adjustRightInd w:val="0"/>
              <w:spacing w:line="360" w:lineRule="auto"/>
              <w:ind w:right="60"/>
              <w:jc w:val="both"/>
              <w:rPr>
                <w:rFonts w:eastAsia="Calibri"/>
              </w:rPr>
            </w:pPr>
          </w:p>
        </w:tc>
      </w:tr>
      <w:tr w:rsidR="00CA7F35" w:rsidRPr="00CA7F35" w14:paraId="6E619C8A" w14:textId="77777777" w:rsidTr="00CA7F35">
        <w:tc>
          <w:tcPr>
            <w:tcW w:w="2535" w:type="dxa"/>
            <w:gridSpan w:val="2"/>
          </w:tcPr>
          <w:p w14:paraId="2E1F6C49" w14:textId="77777777" w:rsidR="00112F64" w:rsidRPr="00CA7F35" w:rsidRDefault="00112F64" w:rsidP="002B358B">
            <w:pPr>
              <w:autoSpaceDE w:val="0"/>
              <w:autoSpaceDN w:val="0"/>
              <w:adjustRightInd w:val="0"/>
              <w:spacing w:line="360" w:lineRule="auto"/>
              <w:jc w:val="both"/>
              <w:rPr>
                <w:rFonts w:eastAsia="Calibri"/>
              </w:rPr>
            </w:pPr>
          </w:p>
        </w:tc>
        <w:tc>
          <w:tcPr>
            <w:tcW w:w="1330" w:type="dxa"/>
          </w:tcPr>
          <w:p w14:paraId="0689FEA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869" w:type="dxa"/>
          </w:tcPr>
          <w:p w14:paraId="76FAB66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99" w:type="dxa"/>
          </w:tcPr>
          <w:p w14:paraId="0B34DC6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476" w:type="dxa"/>
          </w:tcPr>
          <w:p w14:paraId="05F6F6A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3F736979" w14:textId="77777777" w:rsidTr="00CA7F35">
        <w:tc>
          <w:tcPr>
            <w:tcW w:w="1255" w:type="dxa"/>
            <w:vMerge w:val="restart"/>
          </w:tcPr>
          <w:p w14:paraId="31BF509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1280" w:type="dxa"/>
          </w:tcPr>
          <w:p w14:paraId="1383B7C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Never</w:t>
            </w:r>
          </w:p>
        </w:tc>
        <w:tc>
          <w:tcPr>
            <w:tcW w:w="1330" w:type="dxa"/>
          </w:tcPr>
          <w:p w14:paraId="3F2F127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13</w:t>
            </w:r>
          </w:p>
        </w:tc>
        <w:tc>
          <w:tcPr>
            <w:tcW w:w="869" w:type="dxa"/>
          </w:tcPr>
          <w:p w14:paraId="0BE4DED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14.4</w:t>
            </w:r>
          </w:p>
        </w:tc>
        <w:tc>
          <w:tcPr>
            <w:tcW w:w="1399" w:type="dxa"/>
          </w:tcPr>
          <w:p w14:paraId="66449B2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14.4</w:t>
            </w:r>
          </w:p>
        </w:tc>
        <w:tc>
          <w:tcPr>
            <w:tcW w:w="1476" w:type="dxa"/>
          </w:tcPr>
          <w:p w14:paraId="71009C2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14.4</w:t>
            </w:r>
          </w:p>
        </w:tc>
      </w:tr>
      <w:tr w:rsidR="00CA7F35" w:rsidRPr="00CA7F35" w14:paraId="57C7DACE" w14:textId="77777777" w:rsidTr="00CA7F35">
        <w:tc>
          <w:tcPr>
            <w:tcW w:w="1255" w:type="dxa"/>
            <w:vMerge/>
          </w:tcPr>
          <w:p w14:paraId="49A2109C" w14:textId="77777777" w:rsidR="00112F64" w:rsidRPr="00CA7F35" w:rsidRDefault="00112F64" w:rsidP="002B358B">
            <w:pPr>
              <w:autoSpaceDE w:val="0"/>
              <w:autoSpaceDN w:val="0"/>
              <w:adjustRightInd w:val="0"/>
              <w:spacing w:line="360" w:lineRule="auto"/>
              <w:jc w:val="both"/>
              <w:rPr>
                <w:rFonts w:eastAsia="Calibri"/>
              </w:rPr>
            </w:pPr>
          </w:p>
        </w:tc>
        <w:tc>
          <w:tcPr>
            <w:tcW w:w="1280" w:type="dxa"/>
          </w:tcPr>
          <w:p w14:paraId="69641FB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 times</w:t>
            </w:r>
          </w:p>
        </w:tc>
        <w:tc>
          <w:tcPr>
            <w:tcW w:w="1330" w:type="dxa"/>
          </w:tcPr>
          <w:p w14:paraId="412190A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35</w:t>
            </w:r>
          </w:p>
        </w:tc>
        <w:tc>
          <w:tcPr>
            <w:tcW w:w="869" w:type="dxa"/>
          </w:tcPr>
          <w:p w14:paraId="3FB793C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38.9</w:t>
            </w:r>
          </w:p>
        </w:tc>
        <w:tc>
          <w:tcPr>
            <w:tcW w:w="1399" w:type="dxa"/>
          </w:tcPr>
          <w:p w14:paraId="00AD718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38.9</w:t>
            </w:r>
          </w:p>
        </w:tc>
        <w:tc>
          <w:tcPr>
            <w:tcW w:w="1476" w:type="dxa"/>
          </w:tcPr>
          <w:p w14:paraId="18E9AE1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53.3</w:t>
            </w:r>
          </w:p>
        </w:tc>
      </w:tr>
      <w:tr w:rsidR="00CA7F35" w:rsidRPr="00CA7F35" w14:paraId="2A8359B4" w14:textId="77777777" w:rsidTr="00CA7F35">
        <w:tc>
          <w:tcPr>
            <w:tcW w:w="1255" w:type="dxa"/>
            <w:vMerge/>
          </w:tcPr>
          <w:p w14:paraId="2921F641" w14:textId="77777777" w:rsidR="00112F64" w:rsidRPr="00CA7F35" w:rsidRDefault="00112F64" w:rsidP="002B358B">
            <w:pPr>
              <w:autoSpaceDE w:val="0"/>
              <w:autoSpaceDN w:val="0"/>
              <w:adjustRightInd w:val="0"/>
              <w:spacing w:line="360" w:lineRule="auto"/>
              <w:jc w:val="both"/>
              <w:rPr>
                <w:rFonts w:eastAsia="Calibri"/>
              </w:rPr>
            </w:pPr>
          </w:p>
        </w:tc>
        <w:tc>
          <w:tcPr>
            <w:tcW w:w="1280" w:type="dxa"/>
          </w:tcPr>
          <w:p w14:paraId="16F0DC8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3–5 times</w:t>
            </w:r>
          </w:p>
        </w:tc>
        <w:tc>
          <w:tcPr>
            <w:tcW w:w="1330" w:type="dxa"/>
          </w:tcPr>
          <w:p w14:paraId="3147FFE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w:t>
            </w:r>
          </w:p>
        </w:tc>
        <w:tc>
          <w:tcPr>
            <w:tcW w:w="869" w:type="dxa"/>
          </w:tcPr>
          <w:p w14:paraId="32302B5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15.6</w:t>
            </w:r>
          </w:p>
        </w:tc>
        <w:tc>
          <w:tcPr>
            <w:tcW w:w="1399" w:type="dxa"/>
          </w:tcPr>
          <w:p w14:paraId="7CFC535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15.6</w:t>
            </w:r>
          </w:p>
        </w:tc>
        <w:tc>
          <w:tcPr>
            <w:tcW w:w="1476" w:type="dxa"/>
          </w:tcPr>
          <w:p w14:paraId="7716388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68.9</w:t>
            </w:r>
          </w:p>
        </w:tc>
      </w:tr>
      <w:tr w:rsidR="00CA7F35" w:rsidRPr="00CA7F35" w14:paraId="73B9ADC8" w14:textId="77777777" w:rsidTr="00CA7F35">
        <w:tc>
          <w:tcPr>
            <w:tcW w:w="1255" w:type="dxa"/>
            <w:vMerge/>
          </w:tcPr>
          <w:p w14:paraId="0C150CF6" w14:textId="77777777" w:rsidR="00112F64" w:rsidRPr="00CA7F35" w:rsidRDefault="00112F64" w:rsidP="002B358B">
            <w:pPr>
              <w:autoSpaceDE w:val="0"/>
              <w:autoSpaceDN w:val="0"/>
              <w:adjustRightInd w:val="0"/>
              <w:spacing w:line="360" w:lineRule="auto"/>
              <w:jc w:val="both"/>
              <w:rPr>
                <w:rFonts w:eastAsia="Calibri"/>
              </w:rPr>
            </w:pPr>
          </w:p>
        </w:tc>
        <w:tc>
          <w:tcPr>
            <w:tcW w:w="1280" w:type="dxa"/>
          </w:tcPr>
          <w:p w14:paraId="1E9EE02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More than 5 times</w:t>
            </w:r>
          </w:p>
        </w:tc>
        <w:tc>
          <w:tcPr>
            <w:tcW w:w="1330" w:type="dxa"/>
          </w:tcPr>
          <w:p w14:paraId="500B21F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w:t>
            </w:r>
          </w:p>
        </w:tc>
        <w:tc>
          <w:tcPr>
            <w:tcW w:w="869" w:type="dxa"/>
          </w:tcPr>
          <w:p w14:paraId="562412F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26.7</w:t>
            </w:r>
          </w:p>
        </w:tc>
        <w:tc>
          <w:tcPr>
            <w:tcW w:w="1399" w:type="dxa"/>
          </w:tcPr>
          <w:p w14:paraId="40F7A98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26.7</w:t>
            </w:r>
          </w:p>
        </w:tc>
        <w:tc>
          <w:tcPr>
            <w:tcW w:w="1476" w:type="dxa"/>
          </w:tcPr>
          <w:p w14:paraId="783065A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95.6</w:t>
            </w:r>
          </w:p>
        </w:tc>
      </w:tr>
      <w:tr w:rsidR="00CA7F35" w:rsidRPr="00CA7F35" w14:paraId="11C70477" w14:textId="77777777" w:rsidTr="00CA7F35">
        <w:tc>
          <w:tcPr>
            <w:tcW w:w="1255" w:type="dxa"/>
            <w:vMerge/>
          </w:tcPr>
          <w:p w14:paraId="354CCF50" w14:textId="77777777" w:rsidR="00112F64" w:rsidRPr="00CA7F35" w:rsidRDefault="00112F64" w:rsidP="002B358B">
            <w:pPr>
              <w:autoSpaceDE w:val="0"/>
              <w:autoSpaceDN w:val="0"/>
              <w:adjustRightInd w:val="0"/>
              <w:spacing w:line="360" w:lineRule="auto"/>
              <w:jc w:val="both"/>
              <w:rPr>
                <w:rFonts w:eastAsia="Calibri"/>
              </w:rPr>
            </w:pPr>
          </w:p>
        </w:tc>
        <w:tc>
          <w:tcPr>
            <w:tcW w:w="1280" w:type="dxa"/>
          </w:tcPr>
          <w:p w14:paraId="5EB9FB1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Not sure</w:t>
            </w:r>
          </w:p>
        </w:tc>
        <w:tc>
          <w:tcPr>
            <w:tcW w:w="1330" w:type="dxa"/>
          </w:tcPr>
          <w:p w14:paraId="1FE18E3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w:t>
            </w:r>
          </w:p>
        </w:tc>
        <w:tc>
          <w:tcPr>
            <w:tcW w:w="869" w:type="dxa"/>
          </w:tcPr>
          <w:p w14:paraId="2B18F7E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399" w:type="dxa"/>
          </w:tcPr>
          <w:p w14:paraId="77EADCF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476" w:type="dxa"/>
          </w:tcPr>
          <w:p w14:paraId="082BC23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3CE96DFB" w14:textId="77777777" w:rsidTr="00CA7F35">
        <w:tc>
          <w:tcPr>
            <w:tcW w:w="1255" w:type="dxa"/>
            <w:vMerge/>
          </w:tcPr>
          <w:p w14:paraId="1B02F118" w14:textId="77777777" w:rsidR="00112F64" w:rsidRPr="00CA7F35" w:rsidRDefault="00112F64" w:rsidP="002B358B">
            <w:pPr>
              <w:autoSpaceDE w:val="0"/>
              <w:autoSpaceDN w:val="0"/>
              <w:adjustRightInd w:val="0"/>
              <w:spacing w:line="360" w:lineRule="auto"/>
              <w:jc w:val="both"/>
              <w:rPr>
                <w:rFonts w:eastAsia="Calibri"/>
              </w:rPr>
            </w:pPr>
          </w:p>
        </w:tc>
        <w:tc>
          <w:tcPr>
            <w:tcW w:w="1280" w:type="dxa"/>
          </w:tcPr>
          <w:p w14:paraId="5AE7F17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330" w:type="dxa"/>
          </w:tcPr>
          <w:p w14:paraId="0F277AF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869" w:type="dxa"/>
          </w:tcPr>
          <w:p w14:paraId="78A403B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99" w:type="dxa"/>
          </w:tcPr>
          <w:p w14:paraId="472F0B4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476" w:type="dxa"/>
          </w:tcPr>
          <w:p w14:paraId="72D05212" w14:textId="77777777" w:rsidR="00112F64" w:rsidRPr="00CA7F35" w:rsidRDefault="00112F64" w:rsidP="002B358B">
            <w:pPr>
              <w:autoSpaceDE w:val="0"/>
              <w:autoSpaceDN w:val="0"/>
              <w:adjustRightInd w:val="0"/>
              <w:spacing w:line="360" w:lineRule="auto"/>
              <w:jc w:val="both"/>
              <w:rPr>
                <w:rFonts w:eastAsia="Calibri"/>
              </w:rPr>
            </w:pPr>
          </w:p>
        </w:tc>
      </w:tr>
    </w:tbl>
    <w:p w14:paraId="622D1052" w14:textId="77777777" w:rsidR="00112F64" w:rsidRPr="00112F64" w:rsidRDefault="00112F64" w:rsidP="002B358B">
      <w:pPr>
        <w:autoSpaceDE w:val="0"/>
        <w:autoSpaceDN w:val="0"/>
        <w:adjustRightInd w:val="0"/>
        <w:spacing w:line="360" w:lineRule="auto"/>
        <w:jc w:val="both"/>
        <w:rPr>
          <w:rFonts w:eastAsia="Calibri"/>
        </w:rPr>
      </w:pPr>
    </w:p>
    <w:p w14:paraId="75D80755" w14:textId="77777777" w:rsidR="00112F64" w:rsidRPr="00112F64" w:rsidRDefault="00112F64">
      <w:pPr>
        <w:numPr>
          <w:ilvl w:val="0"/>
          <w:numId w:val="10"/>
        </w:numPr>
        <w:autoSpaceDE w:val="0"/>
        <w:autoSpaceDN w:val="0"/>
        <w:adjustRightInd w:val="0"/>
        <w:spacing w:line="360" w:lineRule="auto"/>
        <w:contextualSpacing/>
        <w:jc w:val="both"/>
        <w:rPr>
          <w:rFonts w:eastAsia="Calibri"/>
          <w:b/>
          <w:bCs/>
        </w:rPr>
      </w:pPr>
      <w:r w:rsidRPr="00112F64">
        <w:rPr>
          <w:rFonts w:eastAsia="Calibri"/>
          <w:b/>
          <w:bCs/>
        </w:rPr>
        <w:t>Commercial fires</w:t>
      </w:r>
    </w:p>
    <w:p w14:paraId="7B9E3725" w14:textId="77777777" w:rsidR="00112F64" w:rsidRPr="00112F64" w:rsidRDefault="00112F64" w:rsidP="002B358B">
      <w:pPr>
        <w:autoSpaceDE w:val="0"/>
        <w:autoSpaceDN w:val="0"/>
        <w:adjustRightInd w:val="0"/>
        <w:spacing w:line="360" w:lineRule="auto"/>
        <w:jc w:val="both"/>
        <w:rPr>
          <w:rFonts w:eastAsia="Calibri"/>
        </w:rPr>
      </w:pPr>
      <w:r w:rsidRPr="00112F64">
        <w:rPr>
          <w:rFonts w:eastAsia="Calibri"/>
        </w:rPr>
        <w:t>The data in Table 4.21 from the responses shows that the most frequent causes of incidents in Harare shops and offices are Faulty or overloaded extension leads (28.9%), Electrical faults (24.4%), and Poor housekeeping and waste accumulation (23.3%).  Other causes include Storage of flammable liquids (12.2%), Arson/vandalism (7.8%), and Heating/equipment (3.3%), with higher percentages pointing to electrical-related problems as the leading issue.  Overall, the findings underscore the need for strong electrical safety practices, proper management of extension leads, and good housekeeping to reduce incidents.</w:t>
      </w:r>
    </w:p>
    <w:p w14:paraId="7FB67C9A"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635" w:type="dxa"/>
        <w:tblLayout w:type="fixed"/>
        <w:tblLook w:val="0000" w:firstRow="0" w:lastRow="0" w:firstColumn="0" w:lastColumn="0" w:noHBand="0" w:noVBand="0"/>
      </w:tblPr>
      <w:tblGrid>
        <w:gridCol w:w="1165"/>
        <w:gridCol w:w="2070"/>
        <w:gridCol w:w="1440"/>
        <w:gridCol w:w="1080"/>
        <w:gridCol w:w="1170"/>
        <w:gridCol w:w="1710"/>
      </w:tblGrid>
      <w:tr w:rsidR="00CA7F35" w:rsidRPr="00CA7F35" w14:paraId="5845136A" w14:textId="77777777" w:rsidTr="00CA7F35">
        <w:tc>
          <w:tcPr>
            <w:tcW w:w="8635" w:type="dxa"/>
            <w:gridSpan w:val="6"/>
          </w:tcPr>
          <w:p w14:paraId="16D70B05" w14:textId="33EF454C" w:rsidR="00112F64" w:rsidRPr="00CA7F35" w:rsidRDefault="000E360F" w:rsidP="002B358B">
            <w:pPr>
              <w:autoSpaceDE w:val="0"/>
              <w:autoSpaceDN w:val="0"/>
              <w:adjustRightInd w:val="0"/>
              <w:spacing w:line="360" w:lineRule="auto"/>
              <w:jc w:val="both"/>
              <w:rPr>
                <w:rFonts w:eastAsia="Calibri"/>
                <w:b/>
                <w:bCs/>
              </w:rPr>
            </w:pPr>
            <w:r w:rsidRPr="00CA7F35">
              <w:rPr>
                <w:rFonts w:eastAsia="Calibri"/>
                <w:b/>
                <w:bCs/>
              </w:rPr>
              <w:t>Table 4.17</w:t>
            </w:r>
            <w:r w:rsidR="00541383" w:rsidRPr="00CA7F35">
              <w:rPr>
                <w:rFonts w:eastAsia="Calibri"/>
                <w:b/>
                <w:bCs/>
              </w:rPr>
              <w:t xml:space="preserve"> Factors that most commonly contribute to fires in commercial premises</w:t>
            </w:r>
          </w:p>
          <w:p w14:paraId="7D424CDF" w14:textId="77777777" w:rsidR="00240CC8" w:rsidRPr="00CA7F35" w:rsidRDefault="00240CC8" w:rsidP="002B358B">
            <w:pPr>
              <w:autoSpaceDE w:val="0"/>
              <w:autoSpaceDN w:val="0"/>
              <w:adjustRightInd w:val="0"/>
              <w:spacing w:line="360" w:lineRule="auto"/>
              <w:jc w:val="both"/>
              <w:rPr>
                <w:rFonts w:eastAsia="Calibri"/>
                <w:b/>
                <w:bCs/>
              </w:rPr>
            </w:pPr>
          </w:p>
          <w:p w14:paraId="52CE8805" w14:textId="761EE0EB" w:rsidR="00112F64" w:rsidRPr="00CA7F35" w:rsidRDefault="00112F64" w:rsidP="002B358B">
            <w:pPr>
              <w:autoSpaceDE w:val="0"/>
              <w:autoSpaceDN w:val="0"/>
              <w:adjustRightInd w:val="0"/>
              <w:spacing w:line="360" w:lineRule="auto"/>
              <w:ind w:right="60"/>
              <w:jc w:val="both"/>
              <w:rPr>
                <w:rFonts w:eastAsia="Calibri"/>
                <w:b/>
                <w:bCs/>
              </w:rPr>
            </w:pPr>
          </w:p>
        </w:tc>
      </w:tr>
      <w:tr w:rsidR="00CA7F35" w:rsidRPr="00CA7F35" w14:paraId="10FF36AB" w14:textId="77777777" w:rsidTr="00CA7F35">
        <w:tc>
          <w:tcPr>
            <w:tcW w:w="3235" w:type="dxa"/>
            <w:gridSpan w:val="2"/>
          </w:tcPr>
          <w:p w14:paraId="6D069D0D" w14:textId="77777777" w:rsidR="00112F64" w:rsidRPr="00CA7F35" w:rsidRDefault="00112F64" w:rsidP="002B358B">
            <w:pPr>
              <w:autoSpaceDE w:val="0"/>
              <w:autoSpaceDN w:val="0"/>
              <w:adjustRightInd w:val="0"/>
              <w:spacing w:line="360" w:lineRule="auto"/>
              <w:jc w:val="both"/>
              <w:rPr>
                <w:rFonts w:eastAsia="Calibri"/>
                <w:b/>
                <w:bCs/>
              </w:rPr>
            </w:pPr>
          </w:p>
        </w:tc>
        <w:tc>
          <w:tcPr>
            <w:tcW w:w="1440" w:type="dxa"/>
          </w:tcPr>
          <w:p w14:paraId="31C3E9DE"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Frequency</w:t>
            </w:r>
          </w:p>
        </w:tc>
        <w:tc>
          <w:tcPr>
            <w:tcW w:w="1080" w:type="dxa"/>
          </w:tcPr>
          <w:p w14:paraId="43EFC416"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Percent</w:t>
            </w:r>
          </w:p>
        </w:tc>
        <w:tc>
          <w:tcPr>
            <w:tcW w:w="1170" w:type="dxa"/>
          </w:tcPr>
          <w:p w14:paraId="6042630C"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Valid Percent</w:t>
            </w:r>
          </w:p>
        </w:tc>
        <w:tc>
          <w:tcPr>
            <w:tcW w:w="1710" w:type="dxa"/>
          </w:tcPr>
          <w:p w14:paraId="6DDEA224"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Cumulative Percent</w:t>
            </w:r>
          </w:p>
        </w:tc>
      </w:tr>
      <w:tr w:rsidR="00CA7F35" w:rsidRPr="00CA7F35" w14:paraId="775CE827" w14:textId="77777777" w:rsidTr="00CA7F35">
        <w:tc>
          <w:tcPr>
            <w:tcW w:w="1165" w:type="dxa"/>
            <w:vMerge w:val="restart"/>
          </w:tcPr>
          <w:p w14:paraId="29E0EDB4"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Valid</w:t>
            </w:r>
          </w:p>
        </w:tc>
        <w:tc>
          <w:tcPr>
            <w:tcW w:w="2070" w:type="dxa"/>
          </w:tcPr>
          <w:p w14:paraId="350BD2FB"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Electrical faults</w:t>
            </w:r>
          </w:p>
        </w:tc>
        <w:tc>
          <w:tcPr>
            <w:tcW w:w="1440" w:type="dxa"/>
          </w:tcPr>
          <w:p w14:paraId="21A9B0B1"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22</w:t>
            </w:r>
          </w:p>
        </w:tc>
        <w:tc>
          <w:tcPr>
            <w:tcW w:w="1080" w:type="dxa"/>
          </w:tcPr>
          <w:p w14:paraId="05EC310C"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24.4</w:t>
            </w:r>
          </w:p>
        </w:tc>
        <w:tc>
          <w:tcPr>
            <w:tcW w:w="1170" w:type="dxa"/>
          </w:tcPr>
          <w:p w14:paraId="51225C6B"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24.4</w:t>
            </w:r>
          </w:p>
        </w:tc>
        <w:tc>
          <w:tcPr>
            <w:tcW w:w="1710" w:type="dxa"/>
          </w:tcPr>
          <w:p w14:paraId="2E406484"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24.4</w:t>
            </w:r>
          </w:p>
        </w:tc>
      </w:tr>
      <w:tr w:rsidR="00CA7F35" w:rsidRPr="00CA7F35" w14:paraId="5FC50C0D" w14:textId="77777777" w:rsidTr="00CA7F35">
        <w:tc>
          <w:tcPr>
            <w:tcW w:w="1165" w:type="dxa"/>
            <w:vMerge/>
          </w:tcPr>
          <w:p w14:paraId="424315F5"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22AE2029"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Faulty or overloaded extension leads</w:t>
            </w:r>
          </w:p>
        </w:tc>
        <w:tc>
          <w:tcPr>
            <w:tcW w:w="1440" w:type="dxa"/>
          </w:tcPr>
          <w:p w14:paraId="0D149BAA"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26</w:t>
            </w:r>
          </w:p>
        </w:tc>
        <w:tc>
          <w:tcPr>
            <w:tcW w:w="1080" w:type="dxa"/>
          </w:tcPr>
          <w:p w14:paraId="6AA48945"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28.9</w:t>
            </w:r>
          </w:p>
        </w:tc>
        <w:tc>
          <w:tcPr>
            <w:tcW w:w="1170" w:type="dxa"/>
          </w:tcPr>
          <w:p w14:paraId="453304F7"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28.9</w:t>
            </w:r>
          </w:p>
        </w:tc>
        <w:tc>
          <w:tcPr>
            <w:tcW w:w="1710" w:type="dxa"/>
          </w:tcPr>
          <w:p w14:paraId="51525CF5"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53.3</w:t>
            </w:r>
          </w:p>
        </w:tc>
      </w:tr>
      <w:tr w:rsidR="00CA7F35" w:rsidRPr="00CA7F35" w14:paraId="088DB285" w14:textId="77777777" w:rsidTr="00CA7F35">
        <w:tc>
          <w:tcPr>
            <w:tcW w:w="1165" w:type="dxa"/>
            <w:vMerge/>
          </w:tcPr>
          <w:p w14:paraId="256C41E4"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45288246"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Poor housekeeping and waste accumulation</w:t>
            </w:r>
          </w:p>
        </w:tc>
        <w:tc>
          <w:tcPr>
            <w:tcW w:w="1440" w:type="dxa"/>
          </w:tcPr>
          <w:p w14:paraId="3E1A84FB"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21</w:t>
            </w:r>
          </w:p>
        </w:tc>
        <w:tc>
          <w:tcPr>
            <w:tcW w:w="1080" w:type="dxa"/>
          </w:tcPr>
          <w:p w14:paraId="1A6C6AF3"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23.3</w:t>
            </w:r>
          </w:p>
        </w:tc>
        <w:tc>
          <w:tcPr>
            <w:tcW w:w="1170" w:type="dxa"/>
          </w:tcPr>
          <w:p w14:paraId="4C4FB6FB"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23.3</w:t>
            </w:r>
          </w:p>
        </w:tc>
        <w:tc>
          <w:tcPr>
            <w:tcW w:w="1710" w:type="dxa"/>
          </w:tcPr>
          <w:p w14:paraId="292B98B2"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76.7</w:t>
            </w:r>
          </w:p>
        </w:tc>
      </w:tr>
      <w:tr w:rsidR="00CA7F35" w:rsidRPr="00CA7F35" w14:paraId="4B0E894A" w14:textId="77777777" w:rsidTr="00CA7F35">
        <w:tc>
          <w:tcPr>
            <w:tcW w:w="1165" w:type="dxa"/>
            <w:vMerge/>
          </w:tcPr>
          <w:p w14:paraId="3F06413A"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6E012EA7"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Heating/equipment</w:t>
            </w:r>
          </w:p>
        </w:tc>
        <w:tc>
          <w:tcPr>
            <w:tcW w:w="1440" w:type="dxa"/>
          </w:tcPr>
          <w:p w14:paraId="3E679BAD"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3</w:t>
            </w:r>
          </w:p>
        </w:tc>
        <w:tc>
          <w:tcPr>
            <w:tcW w:w="1080" w:type="dxa"/>
          </w:tcPr>
          <w:p w14:paraId="27CC21FA"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3.3</w:t>
            </w:r>
          </w:p>
        </w:tc>
        <w:tc>
          <w:tcPr>
            <w:tcW w:w="1170" w:type="dxa"/>
          </w:tcPr>
          <w:p w14:paraId="5D403D66"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3.3</w:t>
            </w:r>
          </w:p>
        </w:tc>
        <w:tc>
          <w:tcPr>
            <w:tcW w:w="1710" w:type="dxa"/>
          </w:tcPr>
          <w:p w14:paraId="04805A22"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80.0</w:t>
            </w:r>
          </w:p>
        </w:tc>
      </w:tr>
      <w:tr w:rsidR="00CA7F35" w:rsidRPr="00CA7F35" w14:paraId="35534508" w14:textId="77777777" w:rsidTr="00CA7F35">
        <w:tc>
          <w:tcPr>
            <w:tcW w:w="1165" w:type="dxa"/>
            <w:vMerge/>
          </w:tcPr>
          <w:p w14:paraId="07B5CBE8"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645C2599"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Arson/vandalism</w:t>
            </w:r>
          </w:p>
        </w:tc>
        <w:tc>
          <w:tcPr>
            <w:tcW w:w="1440" w:type="dxa"/>
          </w:tcPr>
          <w:p w14:paraId="3E1B3FC4"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7</w:t>
            </w:r>
          </w:p>
        </w:tc>
        <w:tc>
          <w:tcPr>
            <w:tcW w:w="1080" w:type="dxa"/>
          </w:tcPr>
          <w:p w14:paraId="366A0C3C"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7.8</w:t>
            </w:r>
          </w:p>
        </w:tc>
        <w:tc>
          <w:tcPr>
            <w:tcW w:w="1170" w:type="dxa"/>
          </w:tcPr>
          <w:p w14:paraId="1D641EF5"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7.8</w:t>
            </w:r>
          </w:p>
        </w:tc>
        <w:tc>
          <w:tcPr>
            <w:tcW w:w="1710" w:type="dxa"/>
          </w:tcPr>
          <w:p w14:paraId="25046995"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87.8</w:t>
            </w:r>
          </w:p>
        </w:tc>
      </w:tr>
      <w:tr w:rsidR="00CA7F35" w:rsidRPr="00CA7F35" w14:paraId="1AFCE00E" w14:textId="77777777" w:rsidTr="00CA7F35">
        <w:tc>
          <w:tcPr>
            <w:tcW w:w="1165" w:type="dxa"/>
            <w:vMerge/>
          </w:tcPr>
          <w:p w14:paraId="568C1DD2"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5860D9EE"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Storage of flammable liquids</w:t>
            </w:r>
          </w:p>
        </w:tc>
        <w:tc>
          <w:tcPr>
            <w:tcW w:w="1440" w:type="dxa"/>
          </w:tcPr>
          <w:p w14:paraId="169554BB"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11</w:t>
            </w:r>
          </w:p>
        </w:tc>
        <w:tc>
          <w:tcPr>
            <w:tcW w:w="1080" w:type="dxa"/>
          </w:tcPr>
          <w:p w14:paraId="79E05888"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12.2</w:t>
            </w:r>
          </w:p>
        </w:tc>
        <w:tc>
          <w:tcPr>
            <w:tcW w:w="1170" w:type="dxa"/>
          </w:tcPr>
          <w:p w14:paraId="2EB14800"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12.2</w:t>
            </w:r>
          </w:p>
        </w:tc>
        <w:tc>
          <w:tcPr>
            <w:tcW w:w="1710" w:type="dxa"/>
          </w:tcPr>
          <w:p w14:paraId="622405BC"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100.0</w:t>
            </w:r>
          </w:p>
        </w:tc>
      </w:tr>
      <w:tr w:rsidR="00CA7F35" w:rsidRPr="00CA7F35" w14:paraId="27DB0221" w14:textId="77777777" w:rsidTr="00CA7F35">
        <w:tc>
          <w:tcPr>
            <w:tcW w:w="1165" w:type="dxa"/>
            <w:vMerge/>
          </w:tcPr>
          <w:p w14:paraId="722C3BFF" w14:textId="77777777" w:rsidR="00112F64" w:rsidRPr="00CA7F35" w:rsidRDefault="00112F64" w:rsidP="002B358B">
            <w:pPr>
              <w:autoSpaceDE w:val="0"/>
              <w:autoSpaceDN w:val="0"/>
              <w:adjustRightInd w:val="0"/>
              <w:spacing w:line="360" w:lineRule="auto"/>
              <w:jc w:val="both"/>
              <w:rPr>
                <w:rFonts w:eastAsia="Calibri"/>
                <w:b/>
                <w:bCs/>
              </w:rPr>
            </w:pPr>
          </w:p>
        </w:tc>
        <w:tc>
          <w:tcPr>
            <w:tcW w:w="2070" w:type="dxa"/>
          </w:tcPr>
          <w:p w14:paraId="26068758"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Total</w:t>
            </w:r>
          </w:p>
        </w:tc>
        <w:tc>
          <w:tcPr>
            <w:tcW w:w="1440" w:type="dxa"/>
          </w:tcPr>
          <w:p w14:paraId="63830F69"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90</w:t>
            </w:r>
          </w:p>
        </w:tc>
        <w:tc>
          <w:tcPr>
            <w:tcW w:w="1080" w:type="dxa"/>
          </w:tcPr>
          <w:p w14:paraId="35F3242F"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100.0</w:t>
            </w:r>
          </w:p>
        </w:tc>
        <w:tc>
          <w:tcPr>
            <w:tcW w:w="1170" w:type="dxa"/>
          </w:tcPr>
          <w:p w14:paraId="4BBFEE46" w14:textId="77777777" w:rsidR="00112F64" w:rsidRPr="00CA7F35" w:rsidRDefault="00112F64" w:rsidP="002B358B">
            <w:pPr>
              <w:autoSpaceDE w:val="0"/>
              <w:autoSpaceDN w:val="0"/>
              <w:adjustRightInd w:val="0"/>
              <w:spacing w:line="360" w:lineRule="auto"/>
              <w:ind w:right="60"/>
              <w:jc w:val="both"/>
              <w:rPr>
                <w:rFonts w:eastAsia="Calibri"/>
                <w:b/>
                <w:bCs/>
              </w:rPr>
            </w:pPr>
            <w:r w:rsidRPr="00CA7F35">
              <w:rPr>
                <w:rFonts w:eastAsia="Calibri"/>
                <w:b/>
                <w:bCs/>
              </w:rPr>
              <w:t>100.0</w:t>
            </w:r>
          </w:p>
        </w:tc>
        <w:tc>
          <w:tcPr>
            <w:tcW w:w="1710" w:type="dxa"/>
          </w:tcPr>
          <w:p w14:paraId="1D24CD0C" w14:textId="77777777" w:rsidR="00112F64" w:rsidRPr="00CA7F35" w:rsidRDefault="00112F64" w:rsidP="002B358B">
            <w:pPr>
              <w:autoSpaceDE w:val="0"/>
              <w:autoSpaceDN w:val="0"/>
              <w:adjustRightInd w:val="0"/>
              <w:spacing w:line="360" w:lineRule="auto"/>
              <w:jc w:val="both"/>
              <w:rPr>
                <w:rFonts w:eastAsia="Calibri"/>
                <w:b/>
                <w:bCs/>
              </w:rPr>
            </w:pPr>
          </w:p>
        </w:tc>
      </w:tr>
    </w:tbl>
    <w:p w14:paraId="17ED6B61" w14:textId="77777777" w:rsidR="00112F64" w:rsidRPr="00112F64" w:rsidRDefault="00112F64" w:rsidP="002B358B">
      <w:pPr>
        <w:autoSpaceDE w:val="0"/>
        <w:autoSpaceDN w:val="0"/>
        <w:adjustRightInd w:val="0"/>
        <w:spacing w:line="360" w:lineRule="auto"/>
        <w:jc w:val="both"/>
        <w:rPr>
          <w:rFonts w:eastAsia="Calibri"/>
        </w:rPr>
      </w:pPr>
    </w:p>
    <w:p w14:paraId="0A3D3558" w14:textId="77777777" w:rsidR="00112F64" w:rsidRPr="00112F64" w:rsidRDefault="00112F64" w:rsidP="002B358B">
      <w:pPr>
        <w:spacing w:line="360" w:lineRule="auto"/>
        <w:jc w:val="both"/>
        <w:rPr>
          <w:rFonts w:eastAsia="Calibri"/>
          <w:b/>
          <w:bCs/>
        </w:rPr>
      </w:pPr>
    </w:p>
    <w:p w14:paraId="693420EC" w14:textId="77777777" w:rsidR="00112F64" w:rsidRPr="00112F64" w:rsidRDefault="00112F64">
      <w:pPr>
        <w:numPr>
          <w:ilvl w:val="0"/>
          <w:numId w:val="10"/>
        </w:numPr>
        <w:spacing w:line="360" w:lineRule="auto"/>
        <w:contextualSpacing/>
        <w:jc w:val="both"/>
        <w:rPr>
          <w:rFonts w:eastAsia="Calibri"/>
          <w:b/>
          <w:bCs/>
        </w:rPr>
      </w:pPr>
      <w:r w:rsidRPr="00112F64">
        <w:rPr>
          <w:rFonts w:eastAsia="Calibri"/>
          <w:b/>
          <w:bCs/>
        </w:rPr>
        <w:t>Industrial Fires</w:t>
      </w:r>
    </w:p>
    <w:p w14:paraId="0FDFE12B" w14:textId="77777777" w:rsidR="00112F64" w:rsidRPr="00112F64" w:rsidRDefault="00112F64" w:rsidP="002B358B">
      <w:pPr>
        <w:spacing w:line="360" w:lineRule="auto"/>
        <w:jc w:val="both"/>
        <w:rPr>
          <w:rFonts w:eastAsia="Calibri"/>
        </w:rPr>
      </w:pPr>
      <w:r w:rsidRPr="00112F64">
        <w:rPr>
          <w:rFonts w:eastAsia="Calibri"/>
        </w:rPr>
        <w:t>In Harare’s industrial areas, awareness of fire hazards among 90 valid responses is categorized as Yes (69 respondents, 76.7%), No (14, 15.6%), and not sure (7, 7.8%) as shown in Table 4.22. This distribution indicates a high overall awareness, as the majority acknowledge fire hazards, with a relatively small portion uncertain. The data can guide policymakers and safety organizations to target the 15.6% who are unaware with awareness campaigns, reinforcing fire safety initiatives.</w:t>
      </w:r>
    </w:p>
    <w:p w14:paraId="1ACDE386" w14:textId="54230A5F" w:rsidR="00112F64" w:rsidRPr="00CA7F35" w:rsidRDefault="00541383" w:rsidP="002B358B">
      <w:pPr>
        <w:spacing w:line="360" w:lineRule="auto"/>
        <w:jc w:val="both"/>
        <w:rPr>
          <w:rFonts w:eastAsia="Calibri"/>
          <w:b/>
          <w:bCs/>
        </w:rPr>
      </w:pPr>
      <w:r w:rsidRPr="00CA7F35">
        <w:rPr>
          <w:rFonts w:eastAsia="Calibri"/>
          <w:b/>
          <w:bCs/>
        </w:rPr>
        <w:t>Table 4.18 frequencies and percentages of industrial fires</w:t>
      </w:r>
    </w:p>
    <w:tbl>
      <w:tblPr>
        <w:tblStyle w:val="TableGrid"/>
        <w:tblW w:w="7555" w:type="dxa"/>
        <w:tblLayout w:type="fixed"/>
        <w:tblLook w:val="0000" w:firstRow="0" w:lastRow="0" w:firstColumn="0" w:lastColumn="0" w:noHBand="0" w:noVBand="0"/>
      </w:tblPr>
      <w:tblGrid>
        <w:gridCol w:w="895"/>
        <w:gridCol w:w="1260"/>
        <w:gridCol w:w="1350"/>
        <w:gridCol w:w="1170"/>
        <w:gridCol w:w="1350"/>
        <w:gridCol w:w="1530"/>
      </w:tblGrid>
      <w:tr w:rsidR="00CA7F35" w:rsidRPr="00CA7F35" w14:paraId="65C0269A" w14:textId="77777777" w:rsidTr="00CA7F35">
        <w:tc>
          <w:tcPr>
            <w:tcW w:w="2155" w:type="dxa"/>
            <w:gridSpan w:val="2"/>
          </w:tcPr>
          <w:p w14:paraId="7A1B21F0" w14:textId="77777777" w:rsidR="00112F64" w:rsidRPr="00CA7F35" w:rsidRDefault="00112F64" w:rsidP="002B358B">
            <w:pPr>
              <w:autoSpaceDE w:val="0"/>
              <w:autoSpaceDN w:val="0"/>
              <w:adjustRightInd w:val="0"/>
              <w:spacing w:line="360" w:lineRule="auto"/>
              <w:jc w:val="both"/>
              <w:rPr>
                <w:rFonts w:eastAsia="Calibri"/>
              </w:rPr>
            </w:pPr>
          </w:p>
        </w:tc>
        <w:tc>
          <w:tcPr>
            <w:tcW w:w="1350" w:type="dxa"/>
          </w:tcPr>
          <w:p w14:paraId="7DF1F01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170" w:type="dxa"/>
          </w:tcPr>
          <w:p w14:paraId="4595998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50" w:type="dxa"/>
          </w:tcPr>
          <w:p w14:paraId="172F6F7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530" w:type="dxa"/>
          </w:tcPr>
          <w:p w14:paraId="11D2F9A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13C580AD" w14:textId="77777777" w:rsidTr="00CA7F35">
        <w:tc>
          <w:tcPr>
            <w:tcW w:w="895" w:type="dxa"/>
            <w:vMerge w:val="restart"/>
          </w:tcPr>
          <w:p w14:paraId="1795BED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1260" w:type="dxa"/>
          </w:tcPr>
          <w:p w14:paraId="66C7BA6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Yes</w:t>
            </w:r>
          </w:p>
        </w:tc>
        <w:tc>
          <w:tcPr>
            <w:tcW w:w="1350" w:type="dxa"/>
          </w:tcPr>
          <w:p w14:paraId="1746583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69</w:t>
            </w:r>
          </w:p>
        </w:tc>
        <w:tc>
          <w:tcPr>
            <w:tcW w:w="1170" w:type="dxa"/>
          </w:tcPr>
          <w:p w14:paraId="00B2C6D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76.7</w:t>
            </w:r>
          </w:p>
        </w:tc>
        <w:tc>
          <w:tcPr>
            <w:tcW w:w="1350" w:type="dxa"/>
          </w:tcPr>
          <w:p w14:paraId="6582FAE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76.7</w:t>
            </w:r>
          </w:p>
        </w:tc>
        <w:tc>
          <w:tcPr>
            <w:tcW w:w="1530" w:type="dxa"/>
          </w:tcPr>
          <w:p w14:paraId="6CE1214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76.7</w:t>
            </w:r>
          </w:p>
        </w:tc>
      </w:tr>
      <w:tr w:rsidR="00CA7F35" w:rsidRPr="00CA7F35" w14:paraId="52DF9387" w14:textId="77777777" w:rsidTr="00CA7F35">
        <w:tc>
          <w:tcPr>
            <w:tcW w:w="895" w:type="dxa"/>
            <w:vMerge/>
          </w:tcPr>
          <w:p w14:paraId="1AE61A08" w14:textId="77777777" w:rsidR="00112F64" w:rsidRPr="00CA7F35" w:rsidRDefault="00112F64" w:rsidP="002B358B">
            <w:pPr>
              <w:autoSpaceDE w:val="0"/>
              <w:autoSpaceDN w:val="0"/>
              <w:adjustRightInd w:val="0"/>
              <w:spacing w:line="360" w:lineRule="auto"/>
              <w:jc w:val="both"/>
              <w:rPr>
                <w:rFonts w:eastAsia="Calibri"/>
              </w:rPr>
            </w:pPr>
          </w:p>
        </w:tc>
        <w:tc>
          <w:tcPr>
            <w:tcW w:w="1260" w:type="dxa"/>
          </w:tcPr>
          <w:p w14:paraId="08816CB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w:t>
            </w:r>
          </w:p>
        </w:tc>
        <w:tc>
          <w:tcPr>
            <w:tcW w:w="1350" w:type="dxa"/>
          </w:tcPr>
          <w:p w14:paraId="6833763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w:t>
            </w:r>
          </w:p>
        </w:tc>
        <w:tc>
          <w:tcPr>
            <w:tcW w:w="1170" w:type="dxa"/>
          </w:tcPr>
          <w:p w14:paraId="194B643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15.6</w:t>
            </w:r>
          </w:p>
        </w:tc>
        <w:tc>
          <w:tcPr>
            <w:tcW w:w="1350" w:type="dxa"/>
          </w:tcPr>
          <w:p w14:paraId="7C4F6C7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15.6</w:t>
            </w:r>
          </w:p>
        </w:tc>
        <w:tc>
          <w:tcPr>
            <w:tcW w:w="1530" w:type="dxa"/>
          </w:tcPr>
          <w:p w14:paraId="0E00E1B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92.2</w:t>
            </w:r>
          </w:p>
        </w:tc>
      </w:tr>
      <w:tr w:rsidR="00CA7F35" w:rsidRPr="00CA7F35" w14:paraId="1AFAEFDD" w14:textId="77777777" w:rsidTr="00CA7F35">
        <w:tc>
          <w:tcPr>
            <w:tcW w:w="895" w:type="dxa"/>
            <w:vMerge/>
          </w:tcPr>
          <w:p w14:paraId="662B736A" w14:textId="77777777" w:rsidR="00112F64" w:rsidRPr="00CA7F35" w:rsidRDefault="00112F64" w:rsidP="002B358B">
            <w:pPr>
              <w:autoSpaceDE w:val="0"/>
              <w:autoSpaceDN w:val="0"/>
              <w:adjustRightInd w:val="0"/>
              <w:spacing w:line="360" w:lineRule="auto"/>
              <w:jc w:val="both"/>
              <w:rPr>
                <w:rFonts w:eastAsia="Calibri"/>
              </w:rPr>
            </w:pPr>
          </w:p>
        </w:tc>
        <w:tc>
          <w:tcPr>
            <w:tcW w:w="1260" w:type="dxa"/>
          </w:tcPr>
          <w:p w14:paraId="2BF78D6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Not sure</w:t>
            </w:r>
          </w:p>
        </w:tc>
        <w:tc>
          <w:tcPr>
            <w:tcW w:w="1350" w:type="dxa"/>
          </w:tcPr>
          <w:p w14:paraId="52F7EDA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w:t>
            </w:r>
          </w:p>
        </w:tc>
        <w:tc>
          <w:tcPr>
            <w:tcW w:w="1170" w:type="dxa"/>
          </w:tcPr>
          <w:p w14:paraId="0C65D01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7.8</w:t>
            </w:r>
          </w:p>
        </w:tc>
        <w:tc>
          <w:tcPr>
            <w:tcW w:w="1350" w:type="dxa"/>
          </w:tcPr>
          <w:p w14:paraId="38ED4F8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7.8</w:t>
            </w:r>
          </w:p>
        </w:tc>
        <w:tc>
          <w:tcPr>
            <w:tcW w:w="1530" w:type="dxa"/>
          </w:tcPr>
          <w:p w14:paraId="031014C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3F2A0519" w14:textId="77777777" w:rsidTr="00CA7F35">
        <w:tc>
          <w:tcPr>
            <w:tcW w:w="895" w:type="dxa"/>
            <w:vMerge/>
          </w:tcPr>
          <w:p w14:paraId="27D0C0A3" w14:textId="77777777" w:rsidR="00112F64" w:rsidRPr="00CA7F35" w:rsidRDefault="00112F64" w:rsidP="002B358B">
            <w:pPr>
              <w:autoSpaceDE w:val="0"/>
              <w:autoSpaceDN w:val="0"/>
              <w:adjustRightInd w:val="0"/>
              <w:spacing w:line="360" w:lineRule="auto"/>
              <w:jc w:val="both"/>
              <w:rPr>
                <w:rFonts w:eastAsia="Calibri"/>
              </w:rPr>
            </w:pPr>
          </w:p>
        </w:tc>
        <w:tc>
          <w:tcPr>
            <w:tcW w:w="1260" w:type="dxa"/>
          </w:tcPr>
          <w:p w14:paraId="0E7B056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350" w:type="dxa"/>
          </w:tcPr>
          <w:p w14:paraId="208B389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170" w:type="dxa"/>
          </w:tcPr>
          <w:p w14:paraId="1807534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50" w:type="dxa"/>
          </w:tcPr>
          <w:p w14:paraId="6C126A6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530" w:type="dxa"/>
          </w:tcPr>
          <w:p w14:paraId="19893103" w14:textId="77777777" w:rsidR="00112F64" w:rsidRPr="00CA7F35" w:rsidRDefault="00112F64" w:rsidP="002B358B">
            <w:pPr>
              <w:autoSpaceDE w:val="0"/>
              <w:autoSpaceDN w:val="0"/>
              <w:adjustRightInd w:val="0"/>
              <w:spacing w:line="360" w:lineRule="auto"/>
              <w:jc w:val="both"/>
              <w:rPr>
                <w:rFonts w:eastAsia="Calibri"/>
              </w:rPr>
            </w:pPr>
          </w:p>
        </w:tc>
      </w:tr>
    </w:tbl>
    <w:p w14:paraId="4A127516" w14:textId="77777777" w:rsidR="00112F64" w:rsidRPr="00112F64" w:rsidRDefault="00112F64" w:rsidP="002B358B">
      <w:pPr>
        <w:autoSpaceDE w:val="0"/>
        <w:autoSpaceDN w:val="0"/>
        <w:adjustRightInd w:val="0"/>
        <w:spacing w:line="360" w:lineRule="auto"/>
        <w:jc w:val="both"/>
        <w:rPr>
          <w:rFonts w:eastAsia="Calibri"/>
        </w:rPr>
      </w:pPr>
    </w:p>
    <w:p w14:paraId="4122A123" w14:textId="4282224E" w:rsidR="00112F64" w:rsidRPr="00112F64" w:rsidRDefault="00541383" w:rsidP="002B358B">
      <w:pPr>
        <w:autoSpaceDE w:val="0"/>
        <w:autoSpaceDN w:val="0"/>
        <w:adjustRightInd w:val="0"/>
        <w:spacing w:line="360" w:lineRule="auto"/>
        <w:jc w:val="both"/>
        <w:rPr>
          <w:rFonts w:eastAsia="Calibri"/>
        </w:rPr>
      </w:pPr>
      <w:r>
        <w:rPr>
          <w:rFonts w:eastAsia="Calibri"/>
        </w:rPr>
        <w:t>The table 4.19</w:t>
      </w:r>
      <w:r w:rsidR="00112F64" w:rsidRPr="00112F64">
        <w:rPr>
          <w:rFonts w:eastAsia="Calibri"/>
        </w:rPr>
        <w:t xml:space="preserve"> below shows frequencies and percentages for various fire hazards, with Valid Percent and Cumulative Percent indicating each hazard’s share among valid responses and the running total, respectively.  The most common hazards are “Flammable liquids or gases” (26.7%) and “Inadequate fire suppression systems” (24.4%), while the total responses sum to 90, implying some responses may be missing or invalid.  The Cumulative Percent demonstrates that the hazards up to “Blocked access for emergency services” collectively account for 100%, highlighting the distribution’s emphasis on the top hazards and guiding safety prioritization and resource allocation</w:t>
      </w:r>
    </w:p>
    <w:p w14:paraId="688C94E1"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905" w:type="dxa"/>
        <w:tblLayout w:type="fixed"/>
        <w:tblLook w:val="0000" w:firstRow="0" w:lastRow="0" w:firstColumn="0" w:lastColumn="0" w:noHBand="0" w:noVBand="0"/>
      </w:tblPr>
      <w:tblGrid>
        <w:gridCol w:w="895"/>
        <w:gridCol w:w="2302"/>
        <w:gridCol w:w="1298"/>
        <w:gridCol w:w="1080"/>
        <w:gridCol w:w="1350"/>
        <w:gridCol w:w="1980"/>
      </w:tblGrid>
      <w:tr w:rsidR="00CA7F35" w:rsidRPr="00CA7F35" w14:paraId="3118165A" w14:textId="77777777" w:rsidTr="00CA7F35">
        <w:tc>
          <w:tcPr>
            <w:tcW w:w="8905" w:type="dxa"/>
            <w:gridSpan w:val="6"/>
          </w:tcPr>
          <w:p w14:paraId="5C726C07" w14:textId="77777777" w:rsidR="00112F64" w:rsidRPr="00CA7F35" w:rsidRDefault="00541383" w:rsidP="002B358B">
            <w:pPr>
              <w:autoSpaceDE w:val="0"/>
              <w:autoSpaceDN w:val="0"/>
              <w:adjustRightInd w:val="0"/>
              <w:spacing w:line="360" w:lineRule="auto"/>
              <w:ind w:right="60"/>
              <w:jc w:val="both"/>
              <w:rPr>
                <w:rFonts w:eastAsia="Calibri"/>
                <w:b/>
                <w:bCs/>
              </w:rPr>
            </w:pPr>
            <w:r w:rsidRPr="00CA7F35">
              <w:rPr>
                <w:rFonts w:eastAsia="Calibri"/>
                <w:b/>
                <w:bCs/>
              </w:rPr>
              <w:t>Table 4.19 frequencies and percentages for various fire hazards</w:t>
            </w:r>
          </w:p>
          <w:p w14:paraId="74385B6B" w14:textId="262EAD2F" w:rsidR="00CA7F35" w:rsidRPr="00CA7F35" w:rsidRDefault="00CA7F35" w:rsidP="002B358B">
            <w:pPr>
              <w:autoSpaceDE w:val="0"/>
              <w:autoSpaceDN w:val="0"/>
              <w:adjustRightInd w:val="0"/>
              <w:spacing w:line="360" w:lineRule="auto"/>
              <w:ind w:right="60"/>
              <w:jc w:val="both"/>
              <w:rPr>
                <w:rFonts w:eastAsia="Calibri"/>
              </w:rPr>
            </w:pPr>
          </w:p>
        </w:tc>
      </w:tr>
      <w:tr w:rsidR="00CA7F35" w:rsidRPr="00CA7F35" w14:paraId="21BE8E8D" w14:textId="77777777" w:rsidTr="00CA7F35">
        <w:tc>
          <w:tcPr>
            <w:tcW w:w="3197" w:type="dxa"/>
            <w:gridSpan w:val="2"/>
          </w:tcPr>
          <w:p w14:paraId="041E458D" w14:textId="77777777" w:rsidR="00112F64" w:rsidRPr="00CA7F35" w:rsidRDefault="00112F64" w:rsidP="002B358B">
            <w:pPr>
              <w:autoSpaceDE w:val="0"/>
              <w:autoSpaceDN w:val="0"/>
              <w:adjustRightInd w:val="0"/>
              <w:spacing w:line="360" w:lineRule="auto"/>
              <w:jc w:val="both"/>
              <w:rPr>
                <w:rFonts w:eastAsia="Calibri"/>
              </w:rPr>
            </w:pPr>
          </w:p>
        </w:tc>
        <w:tc>
          <w:tcPr>
            <w:tcW w:w="1298" w:type="dxa"/>
          </w:tcPr>
          <w:p w14:paraId="185EF74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80" w:type="dxa"/>
          </w:tcPr>
          <w:p w14:paraId="0E42575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50" w:type="dxa"/>
          </w:tcPr>
          <w:p w14:paraId="221C41B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980" w:type="dxa"/>
          </w:tcPr>
          <w:p w14:paraId="31122FB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69BD84C7" w14:textId="77777777" w:rsidTr="00CA7F35">
        <w:tc>
          <w:tcPr>
            <w:tcW w:w="895" w:type="dxa"/>
            <w:vMerge w:val="restart"/>
          </w:tcPr>
          <w:p w14:paraId="266F7AB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 xml:space="preserve"> Valid</w:t>
            </w:r>
          </w:p>
        </w:tc>
        <w:tc>
          <w:tcPr>
            <w:tcW w:w="2302" w:type="dxa"/>
          </w:tcPr>
          <w:p w14:paraId="1DC44B0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Flammable liquids or gases</w:t>
            </w:r>
          </w:p>
        </w:tc>
        <w:tc>
          <w:tcPr>
            <w:tcW w:w="1298" w:type="dxa"/>
          </w:tcPr>
          <w:p w14:paraId="0E7EFF0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w:t>
            </w:r>
          </w:p>
        </w:tc>
        <w:tc>
          <w:tcPr>
            <w:tcW w:w="1080" w:type="dxa"/>
          </w:tcPr>
          <w:p w14:paraId="390A347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26.7</w:t>
            </w:r>
          </w:p>
        </w:tc>
        <w:tc>
          <w:tcPr>
            <w:tcW w:w="1350" w:type="dxa"/>
          </w:tcPr>
          <w:p w14:paraId="578C78C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26.7</w:t>
            </w:r>
          </w:p>
        </w:tc>
        <w:tc>
          <w:tcPr>
            <w:tcW w:w="1980" w:type="dxa"/>
          </w:tcPr>
          <w:p w14:paraId="43031EB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26.7</w:t>
            </w:r>
          </w:p>
        </w:tc>
      </w:tr>
      <w:tr w:rsidR="00CA7F35" w:rsidRPr="00CA7F35" w14:paraId="64527DE3" w14:textId="77777777" w:rsidTr="00CA7F35">
        <w:tc>
          <w:tcPr>
            <w:tcW w:w="895" w:type="dxa"/>
            <w:vMerge/>
          </w:tcPr>
          <w:p w14:paraId="269BB8A3" w14:textId="77777777" w:rsidR="00112F64" w:rsidRPr="00CA7F35" w:rsidRDefault="00112F64" w:rsidP="002B358B">
            <w:pPr>
              <w:autoSpaceDE w:val="0"/>
              <w:autoSpaceDN w:val="0"/>
              <w:adjustRightInd w:val="0"/>
              <w:spacing w:line="360" w:lineRule="auto"/>
              <w:jc w:val="both"/>
              <w:rPr>
                <w:rFonts w:eastAsia="Calibri"/>
              </w:rPr>
            </w:pPr>
          </w:p>
        </w:tc>
        <w:tc>
          <w:tcPr>
            <w:tcW w:w="2302" w:type="dxa"/>
          </w:tcPr>
          <w:p w14:paraId="3F06FFB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Electrical equipment and motors</w:t>
            </w:r>
          </w:p>
        </w:tc>
        <w:tc>
          <w:tcPr>
            <w:tcW w:w="1298" w:type="dxa"/>
          </w:tcPr>
          <w:p w14:paraId="0A8DA3D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w:t>
            </w:r>
          </w:p>
        </w:tc>
        <w:tc>
          <w:tcPr>
            <w:tcW w:w="1080" w:type="dxa"/>
          </w:tcPr>
          <w:p w14:paraId="76D25E9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16.7</w:t>
            </w:r>
          </w:p>
        </w:tc>
        <w:tc>
          <w:tcPr>
            <w:tcW w:w="1350" w:type="dxa"/>
          </w:tcPr>
          <w:p w14:paraId="7F82D21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16.7</w:t>
            </w:r>
          </w:p>
        </w:tc>
        <w:tc>
          <w:tcPr>
            <w:tcW w:w="1980" w:type="dxa"/>
          </w:tcPr>
          <w:p w14:paraId="58C3A30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43.3</w:t>
            </w:r>
          </w:p>
        </w:tc>
      </w:tr>
      <w:tr w:rsidR="00CA7F35" w:rsidRPr="00CA7F35" w14:paraId="75A19924" w14:textId="77777777" w:rsidTr="00CA7F35">
        <w:tc>
          <w:tcPr>
            <w:tcW w:w="895" w:type="dxa"/>
            <w:vMerge/>
          </w:tcPr>
          <w:p w14:paraId="4BB463B4" w14:textId="77777777" w:rsidR="00112F64" w:rsidRPr="00CA7F35" w:rsidRDefault="00112F64" w:rsidP="002B358B">
            <w:pPr>
              <w:autoSpaceDE w:val="0"/>
              <w:autoSpaceDN w:val="0"/>
              <w:adjustRightInd w:val="0"/>
              <w:spacing w:line="360" w:lineRule="auto"/>
              <w:jc w:val="both"/>
              <w:rPr>
                <w:rFonts w:eastAsia="Calibri"/>
              </w:rPr>
            </w:pPr>
          </w:p>
        </w:tc>
        <w:tc>
          <w:tcPr>
            <w:tcW w:w="2302" w:type="dxa"/>
          </w:tcPr>
          <w:p w14:paraId="6261BBF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Hot work (welding, cutting)</w:t>
            </w:r>
          </w:p>
        </w:tc>
        <w:tc>
          <w:tcPr>
            <w:tcW w:w="1298" w:type="dxa"/>
          </w:tcPr>
          <w:p w14:paraId="5A75E3A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13</w:t>
            </w:r>
          </w:p>
        </w:tc>
        <w:tc>
          <w:tcPr>
            <w:tcW w:w="1080" w:type="dxa"/>
          </w:tcPr>
          <w:p w14:paraId="77AC4CF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14.4</w:t>
            </w:r>
          </w:p>
        </w:tc>
        <w:tc>
          <w:tcPr>
            <w:tcW w:w="1350" w:type="dxa"/>
          </w:tcPr>
          <w:p w14:paraId="2811C03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14.4</w:t>
            </w:r>
          </w:p>
        </w:tc>
        <w:tc>
          <w:tcPr>
            <w:tcW w:w="1980" w:type="dxa"/>
          </w:tcPr>
          <w:p w14:paraId="4C084DE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57.8</w:t>
            </w:r>
          </w:p>
        </w:tc>
      </w:tr>
      <w:tr w:rsidR="00CA7F35" w:rsidRPr="00CA7F35" w14:paraId="1761A3C8" w14:textId="77777777" w:rsidTr="00CA7F35">
        <w:tc>
          <w:tcPr>
            <w:tcW w:w="895" w:type="dxa"/>
            <w:vMerge/>
          </w:tcPr>
          <w:p w14:paraId="537CEE71" w14:textId="77777777" w:rsidR="00112F64" w:rsidRPr="00CA7F35" w:rsidRDefault="00112F64" w:rsidP="002B358B">
            <w:pPr>
              <w:autoSpaceDE w:val="0"/>
              <w:autoSpaceDN w:val="0"/>
              <w:adjustRightInd w:val="0"/>
              <w:spacing w:line="360" w:lineRule="auto"/>
              <w:jc w:val="both"/>
              <w:rPr>
                <w:rFonts w:eastAsia="Calibri"/>
              </w:rPr>
            </w:pPr>
          </w:p>
        </w:tc>
        <w:tc>
          <w:tcPr>
            <w:tcW w:w="2302" w:type="dxa"/>
          </w:tcPr>
          <w:p w14:paraId="7AD4425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Inadequate fire suppression systems</w:t>
            </w:r>
          </w:p>
        </w:tc>
        <w:tc>
          <w:tcPr>
            <w:tcW w:w="1298" w:type="dxa"/>
          </w:tcPr>
          <w:p w14:paraId="3C01BC8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w:t>
            </w:r>
          </w:p>
        </w:tc>
        <w:tc>
          <w:tcPr>
            <w:tcW w:w="1080" w:type="dxa"/>
          </w:tcPr>
          <w:p w14:paraId="29AB48D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350" w:type="dxa"/>
          </w:tcPr>
          <w:p w14:paraId="2B16FF6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980" w:type="dxa"/>
          </w:tcPr>
          <w:p w14:paraId="2C5015D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82.2</w:t>
            </w:r>
          </w:p>
        </w:tc>
      </w:tr>
      <w:tr w:rsidR="00CA7F35" w:rsidRPr="00CA7F35" w14:paraId="56A7F88C" w14:textId="77777777" w:rsidTr="00CA7F35">
        <w:tc>
          <w:tcPr>
            <w:tcW w:w="895" w:type="dxa"/>
            <w:vMerge/>
          </w:tcPr>
          <w:p w14:paraId="17D4F39E" w14:textId="77777777" w:rsidR="00112F64" w:rsidRPr="00CA7F35" w:rsidRDefault="00112F64" w:rsidP="002B358B">
            <w:pPr>
              <w:autoSpaceDE w:val="0"/>
              <w:autoSpaceDN w:val="0"/>
              <w:adjustRightInd w:val="0"/>
              <w:spacing w:line="360" w:lineRule="auto"/>
              <w:jc w:val="both"/>
              <w:rPr>
                <w:rFonts w:eastAsia="Calibri"/>
              </w:rPr>
            </w:pPr>
          </w:p>
        </w:tc>
        <w:tc>
          <w:tcPr>
            <w:tcW w:w="2302" w:type="dxa"/>
          </w:tcPr>
          <w:p w14:paraId="5F92C49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Blocked access for emergency services</w:t>
            </w:r>
          </w:p>
        </w:tc>
        <w:tc>
          <w:tcPr>
            <w:tcW w:w="1298" w:type="dxa"/>
          </w:tcPr>
          <w:p w14:paraId="1C8BFC8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16</w:t>
            </w:r>
          </w:p>
        </w:tc>
        <w:tc>
          <w:tcPr>
            <w:tcW w:w="1080" w:type="dxa"/>
          </w:tcPr>
          <w:p w14:paraId="416327E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17.8</w:t>
            </w:r>
          </w:p>
        </w:tc>
        <w:tc>
          <w:tcPr>
            <w:tcW w:w="1350" w:type="dxa"/>
          </w:tcPr>
          <w:p w14:paraId="13FD80A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17.8</w:t>
            </w:r>
          </w:p>
        </w:tc>
        <w:tc>
          <w:tcPr>
            <w:tcW w:w="1980" w:type="dxa"/>
          </w:tcPr>
          <w:p w14:paraId="7F3CB2E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028D0CC6" w14:textId="77777777" w:rsidTr="00CA7F35">
        <w:tc>
          <w:tcPr>
            <w:tcW w:w="895" w:type="dxa"/>
            <w:vMerge/>
          </w:tcPr>
          <w:p w14:paraId="04F6E85B" w14:textId="77777777" w:rsidR="00112F64" w:rsidRPr="00CA7F35" w:rsidRDefault="00112F64" w:rsidP="002B358B">
            <w:pPr>
              <w:autoSpaceDE w:val="0"/>
              <w:autoSpaceDN w:val="0"/>
              <w:adjustRightInd w:val="0"/>
              <w:spacing w:line="360" w:lineRule="auto"/>
              <w:jc w:val="both"/>
              <w:rPr>
                <w:rFonts w:eastAsia="Calibri"/>
              </w:rPr>
            </w:pPr>
          </w:p>
        </w:tc>
        <w:tc>
          <w:tcPr>
            <w:tcW w:w="2302" w:type="dxa"/>
          </w:tcPr>
          <w:p w14:paraId="0F3CA83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298" w:type="dxa"/>
          </w:tcPr>
          <w:p w14:paraId="250D8EC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142A875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50" w:type="dxa"/>
          </w:tcPr>
          <w:p w14:paraId="3E96C66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980" w:type="dxa"/>
          </w:tcPr>
          <w:p w14:paraId="39476226" w14:textId="77777777" w:rsidR="00112F64" w:rsidRPr="00CA7F35" w:rsidRDefault="00112F64" w:rsidP="002B358B">
            <w:pPr>
              <w:autoSpaceDE w:val="0"/>
              <w:autoSpaceDN w:val="0"/>
              <w:adjustRightInd w:val="0"/>
              <w:spacing w:line="360" w:lineRule="auto"/>
              <w:jc w:val="both"/>
              <w:rPr>
                <w:rFonts w:eastAsia="Calibri"/>
              </w:rPr>
            </w:pPr>
          </w:p>
        </w:tc>
      </w:tr>
    </w:tbl>
    <w:p w14:paraId="782FA78C" w14:textId="77777777" w:rsidR="00112F64" w:rsidRPr="00112F64" w:rsidRDefault="00112F64" w:rsidP="002B358B">
      <w:pPr>
        <w:spacing w:line="360" w:lineRule="auto"/>
        <w:jc w:val="both"/>
        <w:rPr>
          <w:rFonts w:eastAsia="Calibri"/>
        </w:rPr>
      </w:pPr>
      <w:r w:rsidRPr="00112F64">
        <w:rPr>
          <w:rFonts w:eastAsia="Calibri"/>
        </w:rPr>
        <w:t>.</w:t>
      </w:r>
    </w:p>
    <w:p w14:paraId="573B98BA" w14:textId="77777777" w:rsidR="00112F64" w:rsidRPr="00112F64" w:rsidRDefault="00112F64">
      <w:pPr>
        <w:numPr>
          <w:ilvl w:val="0"/>
          <w:numId w:val="10"/>
        </w:numPr>
        <w:spacing w:line="360" w:lineRule="auto"/>
        <w:contextualSpacing/>
        <w:jc w:val="both"/>
        <w:rPr>
          <w:rFonts w:eastAsia="Calibri"/>
          <w:b/>
          <w:bCs/>
        </w:rPr>
      </w:pPr>
      <w:r w:rsidRPr="00112F64">
        <w:rPr>
          <w:rFonts w:eastAsia="Calibri"/>
          <w:b/>
          <w:bCs/>
        </w:rPr>
        <w:t>Dumpsite fires</w:t>
      </w:r>
    </w:p>
    <w:p w14:paraId="245EF382" w14:textId="6CC6B7F8" w:rsidR="00112F64" w:rsidRPr="00CA7F35" w:rsidRDefault="00541383" w:rsidP="002B358B">
      <w:pPr>
        <w:spacing w:line="360" w:lineRule="auto"/>
        <w:jc w:val="both"/>
        <w:rPr>
          <w:rFonts w:eastAsia="Calibri"/>
          <w:b/>
          <w:bCs/>
        </w:rPr>
      </w:pPr>
      <w:bookmarkStart w:id="101" w:name="_Hlk215430737"/>
      <w:r w:rsidRPr="00CA7F35">
        <w:rPr>
          <w:rFonts w:eastAsia="Calibri"/>
          <w:b/>
          <w:bCs/>
        </w:rPr>
        <w:t>Table 4.20</w:t>
      </w:r>
      <w:r w:rsidRPr="00CA7F35">
        <w:rPr>
          <w:rFonts w:eastAsia="Calibri"/>
          <w:b/>
          <w:bCs/>
          <w:color w:val="010205"/>
          <w:sz w:val="22"/>
          <w:szCs w:val="22"/>
        </w:rPr>
        <w:t xml:space="preserve"> Contribution of rubbish dumpsites towards fire hazards</w:t>
      </w:r>
    </w:p>
    <w:bookmarkEnd w:id="101"/>
    <w:tbl>
      <w:tblPr>
        <w:tblStyle w:val="TableGrid"/>
        <w:tblW w:w="7735" w:type="dxa"/>
        <w:tblLayout w:type="fixed"/>
        <w:tblLook w:val="0000" w:firstRow="0" w:lastRow="0" w:firstColumn="0" w:lastColumn="0" w:noHBand="0" w:noVBand="0"/>
      </w:tblPr>
      <w:tblGrid>
        <w:gridCol w:w="985"/>
        <w:gridCol w:w="990"/>
        <w:gridCol w:w="1260"/>
        <w:gridCol w:w="1080"/>
        <w:gridCol w:w="1260"/>
        <w:gridCol w:w="2160"/>
      </w:tblGrid>
      <w:tr w:rsidR="00CA7F35" w:rsidRPr="00CA7F35" w14:paraId="36A53241" w14:textId="77777777" w:rsidTr="00CA7F35">
        <w:tc>
          <w:tcPr>
            <w:tcW w:w="7735" w:type="dxa"/>
            <w:gridSpan w:val="6"/>
          </w:tcPr>
          <w:p w14:paraId="69B09731" w14:textId="70A06E06" w:rsidR="00112F64" w:rsidRPr="00CA7F35" w:rsidRDefault="00112F64" w:rsidP="002B358B">
            <w:pPr>
              <w:autoSpaceDE w:val="0"/>
              <w:autoSpaceDN w:val="0"/>
              <w:adjustRightInd w:val="0"/>
              <w:spacing w:line="360" w:lineRule="auto"/>
              <w:ind w:right="60"/>
              <w:jc w:val="both"/>
              <w:rPr>
                <w:rFonts w:eastAsia="Calibri"/>
              </w:rPr>
            </w:pPr>
          </w:p>
        </w:tc>
      </w:tr>
      <w:tr w:rsidR="00CA7F35" w:rsidRPr="00CA7F35" w14:paraId="29B0EBD7" w14:textId="77777777" w:rsidTr="00CA7F35">
        <w:tc>
          <w:tcPr>
            <w:tcW w:w="1975" w:type="dxa"/>
            <w:gridSpan w:val="2"/>
          </w:tcPr>
          <w:p w14:paraId="7A85C053" w14:textId="77777777" w:rsidR="00112F64" w:rsidRPr="00CA7F35" w:rsidRDefault="00112F64" w:rsidP="002B358B">
            <w:pPr>
              <w:autoSpaceDE w:val="0"/>
              <w:autoSpaceDN w:val="0"/>
              <w:adjustRightInd w:val="0"/>
              <w:spacing w:line="360" w:lineRule="auto"/>
              <w:jc w:val="both"/>
              <w:rPr>
                <w:rFonts w:eastAsia="Calibri"/>
              </w:rPr>
            </w:pPr>
          </w:p>
        </w:tc>
        <w:tc>
          <w:tcPr>
            <w:tcW w:w="1260" w:type="dxa"/>
          </w:tcPr>
          <w:p w14:paraId="783032C0" w14:textId="7B0AF244"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Frequeny</w:t>
            </w:r>
          </w:p>
        </w:tc>
        <w:tc>
          <w:tcPr>
            <w:tcW w:w="1080" w:type="dxa"/>
          </w:tcPr>
          <w:p w14:paraId="6C17E0A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260" w:type="dxa"/>
          </w:tcPr>
          <w:p w14:paraId="6B12CFC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2160" w:type="dxa"/>
          </w:tcPr>
          <w:p w14:paraId="4BB995B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0EFAF21C" w14:textId="77777777" w:rsidTr="00CA7F35">
        <w:tc>
          <w:tcPr>
            <w:tcW w:w="985" w:type="dxa"/>
            <w:vMerge w:val="restart"/>
          </w:tcPr>
          <w:p w14:paraId="03545B9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990" w:type="dxa"/>
          </w:tcPr>
          <w:p w14:paraId="564A8A7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Yes</w:t>
            </w:r>
          </w:p>
        </w:tc>
        <w:tc>
          <w:tcPr>
            <w:tcW w:w="1260" w:type="dxa"/>
          </w:tcPr>
          <w:p w14:paraId="04AE020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62</w:t>
            </w:r>
          </w:p>
        </w:tc>
        <w:tc>
          <w:tcPr>
            <w:tcW w:w="1080" w:type="dxa"/>
          </w:tcPr>
          <w:p w14:paraId="22914D8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68.9</w:t>
            </w:r>
          </w:p>
        </w:tc>
        <w:tc>
          <w:tcPr>
            <w:tcW w:w="1260" w:type="dxa"/>
          </w:tcPr>
          <w:p w14:paraId="3B58966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68.9</w:t>
            </w:r>
          </w:p>
        </w:tc>
        <w:tc>
          <w:tcPr>
            <w:tcW w:w="2160" w:type="dxa"/>
          </w:tcPr>
          <w:p w14:paraId="508EBD2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68.9</w:t>
            </w:r>
          </w:p>
        </w:tc>
      </w:tr>
      <w:tr w:rsidR="00CA7F35" w:rsidRPr="00CA7F35" w14:paraId="7AEA9639" w14:textId="77777777" w:rsidTr="00CA7F35">
        <w:tc>
          <w:tcPr>
            <w:tcW w:w="985" w:type="dxa"/>
            <w:vMerge/>
          </w:tcPr>
          <w:p w14:paraId="4C26E274" w14:textId="77777777" w:rsidR="00112F64" w:rsidRPr="00CA7F35" w:rsidRDefault="00112F64" w:rsidP="002B358B">
            <w:pPr>
              <w:autoSpaceDE w:val="0"/>
              <w:autoSpaceDN w:val="0"/>
              <w:adjustRightInd w:val="0"/>
              <w:spacing w:line="360" w:lineRule="auto"/>
              <w:jc w:val="both"/>
              <w:rPr>
                <w:rFonts w:eastAsia="Calibri"/>
              </w:rPr>
            </w:pPr>
          </w:p>
        </w:tc>
        <w:tc>
          <w:tcPr>
            <w:tcW w:w="990" w:type="dxa"/>
          </w:tcPr>
          <w:p w14:paraId="0ACA648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w:t>
            </w:r>
          </w:p>
        </w:tc>
        <w:tc>
          <w:tcPr>
            <w:tcW w:w="1260" w:type="dxa"/>
          </w:tcPr>
          <w:p w14:paraId="117EF6C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w:t>
            </w:r>
          </w:p>
        </w:tc>
        <w:tc>
          <w:tcPr>
            <w:tcW w:w="1080" w:type="dxa"/>
          </w:tcPr>
          <w:p w14:paraId="4ECD9CB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12.2</w:t>
            </w:r>
          </w:p>
        </w:tc>
        <w:tc>
          <w:tcPr>
            <w:tcW w:w="1260" w:type="dxa"/>
          </w:tcPr>
          <w:p w14:paraId="4102C8D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12.2</w:t>
            </w:r>
          </w:p>
        </w:tc>
        <w:tc>
          <w:tcPr>
            <w:tcW w:w="2160" w:type="dxa"/>
          </w:tcPr>
          <w:p w14:paraId="22DFB33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81.1</w:t>
            </w:r>
          </w:p>
        </w:tc>
      </w:tr>
      <w:tr w:rsidR="00CA7F35" w:rsidRPr="00CA7F35" w14:paraId="4C825EB9" w14:textId="77777777" w:rsidTr="00CA7F35">
        <w:tc>
          <w:tcPr>
            <w:tcW w:w="985" w:type="dxa"/>
            <w:vMerge/>
          </w:tcPr>
          <w:p w14:paraId="1491FBBA" w14:textId="77777777" w:rsidR="00112F64" w:rsidRPr="00CA7F35" w:rsidRDefault="00112F64" w:rsidP="002B358B">
            <w:pPr>
              <w:autoSpaceDE w:val="0"/>
              <w:autoSpaceDN w:val="0"/>
              <w:adjustRightInd w:val="0"/>
              <w:spacing w:line="360" w:lineRule="auto"/>
              <w:jc w:val="both"/>
              <w:rPr>
                <w:rFonts w:eastAsia="Calibri"/>
              </w:rPr>
            </w:pPr>
          </w:p>
        </w:tc>
        <w:tc>
          <w:tcPr>
            <w:tcW w:w="990" w:type="dxa"/>
          </w:tcPr>
          <w:p w14:paraId="3F72BB2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Not sure</w:t>
            </w:r>
          </w:p>
        </w:tc>
        <w:tc>
          <w:tcPr>
            <w:tcW w:w="1260" w:type="dxa"/>
          </w:tcPr>
          <w:p w14:paraId="2F82A3E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17</w:t>
            </w:r>
          </w:p>
        </w:tc>
        <w:tc>
          <w:tcPr>
            <w:tcW w:w="1080" w:type="dxa"/>
          </w:tcPr>
          <w:p w14:paraId="41D7B65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18.9</w:t>
            </w:r>
          </w:p>
        </w:tc>
        <w:tc>
          <w:tcPr>
            <w:tcW w:w="1260" w:type="dxa"/>
          </w:tcPr>
          <w:p w14:paraId="0B7B932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18.9</w:t>
            </w:r>
          </w:p>
        </w:tc>
        <w:tc>
          <w:tcPr>
            <w:tcW w:w="2160" w:type="dxa"/>
          </w:tcPr>
          <w:p w14:paraId="1ECA288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4DB651F5" w14:textId="77777777" w:rsidTr="00CA7F35">
        <w:tc>
          <w:tcPr>
            <w:tcW w:w="985" w:type="dxa"/>
            <w:vMerge/>
          </w:tcPr>
          <w:p w14:paraId="4078AD35" w14:textId="77777777" w:rsidR="00112F64" w:rsidRPr="00CA7F35" w:rsidRDefault="00112F64" w:rsidP="002B358B">
            <w:pPr>
              <w:autoSpaceDE w:val="0"/>
              <w:autoSpaceDN w:val="0"/>
              <w:adjustRightInd w:val="0"/>
              <w:spacing w:line="360" w:lineRule="auto"/>
              <w:jc w:val="both"/>
              <w:rPr>
                <w:rFonts w:eastAsia="Calibri"/>
              </w:rPr>
            </w:pPr>
          </w:p>
        </w:tc>
        <w:tc>
          <w:tcPr>
            <w:tcW w:w="990" w:type="dxa"/>
          </w:tcPr>
          <w:p w14:paraId="7099A77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260" w:type="dxa"/>
          </w:tcPr>
          <w:p w14:paraId="51BA589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74E4B8D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260" w:type="dxa"/>
          </w:tcPr>
          <w:p w14:paraId="0595291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2160" w:type="dxa"/>
          </w:tcPr>
          <w:p w14:paraId="465533F0" w14:textId="77777777" w:rsidR="00112F64" w:rsidRPr="00CA7F35" w:rsidRDefault="00112F64" w:rsidP="002B358B">
            <w:pPr>
              <w:autoSpaceDE w:val="0"/>
              <w:autoSpaceDN w:val="0"/>
              <w:adjustRightInd w:val="0"/>
              <w:spacing w:line="360" w:lineRule="auto"/>
              <w:jc w:val="both"/>
              <w:rPr>
                <w:rFonts w:eastAsia="Calibri"/>
              </w:rPr>
            </w:pPr>
          </w:p>
        </w:tc>
      </w:tr>
    </w:tbl>
    <w:p w14:paraId="667300B0" w14:textId="77777777" w:rsidR="00112F64" w:rsidRPr="00112F64" w:rsidRDefault="00112F64" w:rsidP="002B358B">
      <w:pPr>
        <w:autoSpaceDE w:val="0"/>
        <w:autoSpaceDN w:val="0"/>
        <w:adjustRightInd w:val="0"/>
        <w:spacing w:line="360" w:lineRule="auto"/>
        <w:jc w:val="both"/>
        <w:rPr>
          <w:rFonts w:eastAsia="Calibri"/>
        </w:rPr>
      </w:pPr>
    </w:p>
    <w:p w14:paraId="64EE5439" w14:textId="74737A07" w:rsidR="00112F64" w:rsidRPr="00112F64" w:rsidRDefault="00541383" w:rsidP="002B358B">
      <w:pPr>
        <w:spacing w:line="360" w:lineRule="auto"/>
        <w:jc w:val="both"/>
        <w:rPr>
          <w:rFonts w:eastAsia="Calibri"/>
        </w:rPr>
      </w:pPr>
      <w:r>
        <w:rPr>
          <w:rFonts w:eastAsia="Calibri"/>
        </w:rPr>
        <w:t>In the Table 4.20</w:t>
      </w:r>
      <w:r w:rsidR="00112F64" w:rsidRPr="00112F64">
        <w:rPr>
          <w:rFonts w:eastAsia="Calibri"/>
        </w:rPr>
        <w:t>above, respondents shows that 62 people (68.9%) believe dumpsites contribute to fires, while 11 (12.2%) think they do not and 17 (18.9%) are unsure, indicating overall majority awareness with notable uncertainty.   The percentages are consistent across valid and cumulative columns, reflecting data accuracy and a general recognition of dumpsites’ potential role in fire outbreaks due to factors like combustible waste or mismanagement.  These results suggest a need for targeted information campaigns and policy measures to improve knowledge and prevent waste-related fires through better waste management and prevention strategies.</w:t>
      </w:r>
    </w:p>
    <w:p w14:paraId="0318D887"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270" w:type="dxa"/>
        <w:tblLayout w:type="fixed"/>
        <w:tblLook w:val="0000" w:firstRow="0" w:lastRow="0" w:firstColumn="0" w:lastColumn="0" w:noHBand="0" w:noVBand="0"/>
      </w:tblPr>
      <w:tblGrid>
        <w:gridCol w:w="985"/>
        <w:gridCol w:w="2212"/>
        <w:gridCol w:w="1298"/>
        <w:gridCol w:w="1080"/>
        <w:gridCol w:w="1219"/>
        <w:gridCol w:w="1476"/>
      </w:tblGrid>
      <w:tr w:rsidR="00112F64" w:rsidRPr="00112F64" w14:paraId="4839846C" w14:textId="77777777" w:rsidTr="00CA7F35">
        <w:tc>
          <w:tcPr>
            <w:tcW w:w="8270" w:type="dxa"/>
            <w:gridSpan w:val="6"/>
          </w:tcPr>
          <w:p w14:paraId="6B376C10" w14:textId="0A6BCCC9" w:rsidR="00112F64" w:rsidRPr="00CA7F35" w:rsidRDefault="00112F64" w:rsidP="002B358B">
            <w:pPr>
              <w:autoSpaceDE w:val="0"/>
              <w:autoSpaceDN w:val="0"/>
              <w:adjustRightInd w:val="0"/>
              <w:spacing w:line="360" w:lineRule="auto"/>
              <w:ind w:right="60"/>
              <w:jc w:val="both"/>
              <w:rPr>
                <w:rFonts w:eastAsia="Calibri"/>
                <w:b/>
                <w:bCs/>
                <w:color w:val="010205"/>
                <w:sz w:val="22"/>
                <w:szCs w:val="22"/>
              </w:rPr>
            </w:pPr>
            <w:bookmarkStart w:id="102" w:name="_Hlk215430857"/>
            <w:r w:rsidRPr="00CA7F35">
              <w:rPr>
                <w:rFonts w:eastAsia="Calibri"/>
                <w:b/>
                <w:bCs/>
              </w:rPr>
              <w:t>Table 4.2</w:t>
            </w:r>
            <w:bookmarkEnd w:id="102"/>
            <w:r w:rsidR="00541383" w:rsidRPr="00CA7F35">
              <w:rPr>
                <w:rFonts w:eastAsia="Calibri"/>
                <w:b/>
                <w:bCs/>
              </w:rPr>
              <w:t>1 fire cause</w:t>
            </w:r>
          </w:p>
        </w:tc>
      </w:tr>
      <w:tr w:rsidR="00112F64" w:rsidRPr="00112F64" w14:paraId="1B2F1CD0" w14:textId="77777777" w:rsidTr="00CA7F35">
        <w:tc>
          <w:tcPr>
            <w:tcW w:w="3197" w:type="dxa"/>
            <w:gridSpan w:val="2"/>
          </w:tcPr>
          <w:p w14:paraId="6199EF49" w14:textId="77777777" w:rsidR="00112F64" w:rsidRPr="00CA7F35" w:rsidRDefault="00112F64" w:rsidP="002B358B">
            <w:pPr>
              <w:autoSpaceDE w:val="0"/>
              <w:autoSpaceDN w:val="0"/>
              <w:adjustRightInd w:val="0"/>
              <w:spacing w:line="360" w:lineRule="auto"/>
              <w:jc w:val="both"/>
              <w:rPr>
                <w:rFonts w:eastAsia="Calibri"/>
              </w:rPr>
            </w:pPr>
          </w:p>
        </w:tc>
        <w:tc>
          <w:tcPr>
            <w:tcW w:w="1298" w:type="dxa"/>
          </w:tcPr>
          <w:p w14:paraId="697DAB5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80" w:type="dxa"/>
          </w:tcPr>
          <w:p w14:paraId="15242BE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219" w:type="dxa"/>
          </w:tcPr>
          <w:p w14:paraId="27B55FA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476" w:type="dxa"/>
          </w:tcPr>
          <w:p w14:paraId="7423C45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112F64" w:rsidRPr="00112F64" w14:paraId="6127F775" w14:textId="77777777" w:rsidTr="00CA7F35">
        <w:tc>
          <w:tcPr>
            <w:tcW w:w="985" w:type="dxa"/>
            <w:vMerge w:val="restart"/>
          </w:tcPr>
          <w:p w14:paraId="797112D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2212" w:type="dxa"/>
          </w:tcPr>
          <w:p w14:paraId="01EC42D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Methane ignition from decomposing waste</w:t>
            </w:r>
          </w:p>
        </w:tc>
        <w:tc>
          <w:tcPr>
            <w:tcW w:w="1298" w:type="dxa"/>
          </w:tcPr>
          <w:p w14:paraId="5FCD9E8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21</w:t>
            </w:r>
          </w:p>
        </w:tc>
        <w:tc>
          <w:tcPr>
            <w:tcW w:w="1080" w:type="dxa"/>
          </w:tcPr>
          <w:p w14:paraId="6E4697A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23.3</w:t>
            </w:r>
          </w:p>
        </w:tc>
        <w:tc>
          <w:tcPr>
            <w:tcW w:w="1219" w:type="dxa"/>
          </w:tcPr>
          <w:p w14:paraId="2533C10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23.3</w:t>
            </w:r>
          </w:p>
        </w:tc>
        <w:tc>
          <w:tcPr>
            <w:tcW w:w="1476" w:type="dxa"/>
          </w:tcPr>
          <w:p w14:paraId="4D80CC3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23.3</w:t>
            </w:r>
          </w:p>
        </w:tc>
      </w:tr>
      <w:tr w:rsidR="00112F64" w:rsidRPr="00112F64" w14:paraId="0705E9DC" w14:textId="77777777" w:rsidTr="00CA7F35">
        <w:tc>
          <w:tcPr>
            <w:tcW w:w="985" w:type="dxa"/>
            <w:vMerge/>
          </w:tcPr>
          <w:p w14:paraId="554D1F4A" w14:textId="77777777" w:rsidR="00112F64" w:rsidRPr="00CA7F35" w:rsidRDefault="00112F64" w:rsidP="002B358B">
            <w:pPr>
              <w:autoSpaceDE w:val="0"/>
              <w:autoSpaceDN w:val="0"/>
              <w:adjustRightInd w:val="0"/>
              <w:spacing w:line="360" w:lineRule="auto"/>
              <w:jc w:val="both"/>
              <w:rPr>
                <w:rFonts w:eastAsia="Calibri"/>
              </w:rPr>
            </w:pPr>
          </w:p>
        </w:tc>
        <w:tc>
          <w:tcPr>
            <w:tcW w:w="2212" w:type="dxa"/>
          </w:tcPr>
          <w:p w14:paraId="0AB6474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Deliberate burning</w:t>
            </w:r>
          </w:p>
        </w:tc>
        <w:tc>
          <w:tcPr>
            <w:tcW w:w="1298" w:type="dxa"/>
          </w:tcPr>
          <w:p w14:paraId="0DD9502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57</w:t>
            </w:r>
          </w:p>
        </w:tc>
        <w:tc>
          <w:tcPr>
            <w:tcW w:w="1080" w:type="dxa"/>
          </w:tcPr>
          <w:p w14:paraId="64E3B39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63.3</w:t>
            </w:r>
          </w:p>
        </w:tc>
        <w:tc>
          <w:tcPr>
            <w:tcW w:w="1219" w:type="dxa"/>
          </w:tcPr>
          <w:p w14:paraId="0E6D8B2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63.3</w:t>
            </w:r>
          </w:p>
        </w:tc>
        <w:tc>
          <w:tcPr>
            <w:tcW w:w="1476" w:type="dxa"/>
          </w:tcPr>
          <w:p w14:paraId="1B7F8B0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86.7</w:t>
            </w:r>
          </w:p>
        </w:tc>
      </w:tr>
      <w:tr w:rsidR="00112F64" w:rsidRPr="00112F64" w14:paraId="5EECFC7D" w14:textId="77777777" w:rsidTr="00CA7F35">
        <w:tc>
          <w:tcPr>
            <w:tcW w:w="985" w:type="dxa"/>
            <w:vMerge/>
          </w:tcPr>
          <w:p w14:paraId="08E94DA1" w14:textId="77777777" w:rsidR="00112F64" w:rsidRPr="00CA7F35" w:rsidRDefault="00112F64" w:rsidP="002B358B">
            <w:pPr>
              <w:autoSpaceDE w:val="0"/>
              <w:autoSpaceDN w:val="0"/>
              <w:adjustRightInd w:val="0"/>
              <w:spacing w:line="360" w:lineRule="auto"/>
              <w:jc w:val="both"/>
              <w:rPr>
                <w:rFonts w:eastAsia="Calibri"/>
              </w:rPr>
            </w:pPr>
          </w:p>
        </w:tc>
        <w:tc>
          <w:tcPr>
            <w:tcW w:w="2212" w:type="dxa"/>
          </w:tcPr>
          <w:p w14:paraId="7953CF8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Spontaneous combustion of waste</w:t>
            </w:r>
          </w:p>
        </w:tc>
        <w:tc>
          <w:tcPr>
            <w:tcW w:w="1298" w:type="dxa"/>
          </w:tcPr>
          <w:p w14:paraId="1F4CAD0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w:t>
            </w:r>
          </w:p>
        </w:tc>
        <w:tc>
          <w:tcPr>
            <w:tcW w:w="1080" w:type="dxa"/>
          </w:tcPr>
          <w:p w14:paraId="5B95E61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11.1</w:t>
            </w:r>
          </w:p>
        </w:tc>
        <w:tc>
          <w:tcPr>
            <w:tcW w:w="1219" w:type="dxa"/>
          </w:tcPr>
          <w:p w14:paraId="20A8DB5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11.1</w:t>
            </w:r>
          </w:p>
        </w:tc>
        <w:tc>
          <w:tcPr>
            <w:tcW w:w="1476" w:type="dxa"/>
          </w:tcPr>
          <w:p w14:paraId="08F29FE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97.8</w:t>
            </w:r>
          </w:p>
        </w:tc>
      </w:tr>
      <w:tr w:rsidR="00112F64" w:rsidRPr="00112F64" w14:paraId="23A86A18" w14:textId="77777777" w:rsidTr="00CA7F35">
        <w:tc>
          <w:tcPr>
            <w:tcW w:w="985" w:type="dxa"/>
            <w:vMerge/>
          </w:tcPr>
          <w:p w14:paraId="449F419E" w14:textId="77777777" w:rsidR="00112F64" w:rsidRPr="00CA7F35" w:rsidRDefault="00112F64" w:rsidP="002B358B">
            <w:pPr>
              <w:autoSpaceDE w:val="0"/>
              <w:autoSpaceDN w:val="0"/>
              <w:adjustRightInd w:val="0"/>
              <w:spacing w:line="360" w:lineRule="auto"/>
              <w:jc w:val="both"/>
              <w:rPr>
                <w:rFonts w:eastAsia="Calibri"/>
              </w:rPr>
            </w:pPr>
          </w:p>
        </w:tc>
        <w:tc>
          <w:tcPr>
            <w:tcW w:w="2212" w:type="dxa"/>
          </w:tcPr>
          <w:p w14:paraId="2CA52E0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Firefighting delays due to access</w:t>
            </w:r>
          </w:p>
        </w:tc>
        <w:tc>
          <w:tcPr>
            <w:tcW w:w="1298" w:type="dxa"/>
          </w:tcPr>
          <w:p w14:paraId="57E498E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w:t>
            </w:r>
          </w:p>
        </w:tc>
        <w:tc>
          <w:tcPr>
            <w:tcW w:w="1080" w:type="dxa"/>
          </w:tcPr>
          <w:p w14:paraId="77CA397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w:t>
            </w:r>
          </w:p>
        </w:tc>
        <w:tc>
          <w:tcPr>
            <w:tcW w:w="1219" w:type="dxa"/>
          </w:tcPr>
          <w:p w14:paraId="240AA35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w:t>
            </w:r>
          </w:p>
        </w:tc>
        <w:tc>
          <w:tcPr>
            <w:tcW w:w="1476" w:type="dxa"/>
          </w:tcPr>
          <w:p w14:paraId="4729A4E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112F64" w:rsidRPr="00112F64" w14:paraId="3B745061" w14:textId="77777777" w:rsidTr="00CA7F35">
        <w:tc>
          <w:tcPr>
            <w:tcW w:w="985" w:type="dxa"/>
            <w:vMerge/>
          </w:tcPr>
          <w:p w14:paraId="0EFAE055" w14:textId="77777777" w:rsidR="00112F64" w:rsidRPr="00CA7F35" w:rsidRDefault="00112F64" w:rsidP="002B358B">
            <w:pPr>
              <w:autoSpaceDE w:val="0"/>
              <w:autoSpaceDN w:val="0"/>
              <w:adjustRightInd w:val="0"/>
              <w:spacing w:line="360" w:lineRule="auto"/>
              <w:jc w:val="both"/>
              <w:rPr>
                <w:rFonts w:eastAsia="Calibri"/>
              </w:rPr>
            </w:pPr>
          </w:p>
        </w:tc>
        <w:tc>
          <w:tcPr>
            <w:tcW w:w="2212" w:type="dxa"/>
          </w:tcPr>
          <w:p w14:paraId="497CC68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298" w:type="dxa"/>
          </w:tcPr>
          <w:p w14:paraId="52D975A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7B8423A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219" w:type="dxa"/>
          </w:tcPr>
          <w:p w14:paraId="17585AD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476" w:type="dxa"/>
          </w:tcPr>
          <w:p w14:paraId="33A0D0BA" w14:textId="77777777" w:rsidR="00112F64" w:rsidRPr="00CA7F35" w:rsidRDefault="00112F64" w:rsidP="002B358B">
            <w:pPr>
              <w:autoSpaceDE w:val="0"/>
              <w:autoSpaceDN w:val="0"/>
              <w:adjustRightInd w:val="0"/>
              <w:spacing w:line="360" w:lineRule="auto"/>
              <w:jc w:val="both"/>
              <w:rPr>
                <w:rFonts w:eastAsia="Calibri"/>
              </w:rPr>
            </w:pPr>
          </w:p>
        </w:tc>
      </w:tr>
    </w:tbl>
    <w:p w14:paraId="285AF5B5" w14:textId="77777777" w:rsidR="00CA7F35" w:rsidRDefault="00CA7F35" w:rsidP="002B358B">
      <w:pPr>
        <w:autoSpaceDE w:val="0"/>
        <w:autoSpaceDN w:val="0"/>
        <w:adjustRightInd w:val="0"/>
        <w:spacing w:line="360" w:lineRule="auto"/>
        <w:jc w:val="both"/>
        <w:rPr>
          <w:rFonts w:eastAsia="Calibri"/>
        </w:rPr>
      </w:pPr>
    </w:p>
    <w:p w14:paraId="783C66C9" w14:textId="7C24BC5B" w:rsidR="00112F64" w:rsidRPr="00112F64" w:rsidRDefault="00541383" w:rsidP="002B358B">
      <w:pPr>
        <w:autoSpaceDE w:val="0"/>
        <w:autoSpaceDN w:val="0"/>
        <w:adjustRightInd w:val="0"/>
        <w:spacing w:line="360" w:lineRule="auto"/>
        <w:jc w:val="both"/>
        <w:rPr>
          <w:rFonts w:eastAsia="Calibri"/>
        </w:rPr>
      </w:pPr>
      <w:r>
        <w:rPr>
          <w:rFonts w:eastAsia="Calibri"/>
        </w:rPr>
        <w:t>Based on Table 4.21</w:t>
      </w:r>
      <w:r w:rsidR="00112F64" w:rsidRPr="00112F64">
        <w:rPr>
          <w:rFonts w:eastAsia="Calibri"/>
        </w:rPr>
        <w:t xml:space="preserve"> responses (100%), the most common fire cause is deliberate burning at 63.3%, followed by methane ignition from decomposing waste at 23.3%, spontaneous combustion of waste at 11.1%, and firefighting delays due to access at 2.2%. This indicates that human activity is a major driver of fires, with waste management and prevention of deliberate fires as key intervention points, while access delays, though smaller, remain a relevant factor. Understanding these proportions helps prioritize safety measures—restricting deliberate burning, improving waste decomposition controls, and enhancing firefighting access to reduce overall fire risk.</w:t>
      </w:r>
    </w:p>
    <w:p w14:paraId="40402D26" w14:textId="77777777" w:rsidR="00112F64" w:rsidRPr="00112F64" w:rsidRDefault="00112F64" w:rsidP="002B358B">
      <w:pPr>
        <w:spacing w:line="360" w:lineRule="auto"/>
        <w:jc w:val="both"/>
        <w:rPr>
          <w:rFonts w:eastAsia="Calibri"/>
        </w:rPr>
      </w:pPr>
    </w:p>
    <w:p w14:paraId="7910D5A8" w14:textId="77777777" w:rsidR="00112F64" w:rsidRPr="00112F64" w:rsidRDefault="00112F64">
      <w:pPr>
        <w:numPr>
          <w:ilvl w:val="0"/>
          <w:numId w:val="10"/>
        </w:numPr>
        <w:spacing w:line="360" w:lineRule="auto"/>
        <w:contextualSpacing/>
        <w:jc w:val="both"/>
        <w:rPr>
          <w:rFonts w:eastAsia="Calibri"/>
        </w:rPr>
      </w:pPr>
      <w:r w:rsidRPr="00112F64">
        <w:rPr>
          <w:rFonts w:eastAsia="Calibri"/>
          <w:b/>
          <w:bCs/>
        </w:rPr>
        <w:t>Market fires</w:t>
      </w:r>
    </w:p>
    <w:tbl>
      <w:tblPr>
        <w:tblStyle w:val="TableGrid"/>
        <w:tblW w:w="8270" w:type="dxa"/>
        <w:tblLayout w:type="fixed"/>
        <w:tblLook w:val="0000" w:firstRow="0" w:lastRow="0" w:firstColumn="0" w:lastColumn="0" w:noHBand="0" w:noVBand="0"/>
      </w:tblPr>
      <w:tblGrid>
        <w:gridCol w:w="737"/>
        <w:gridCol w:w="2460"/>
        <w:gridCol w:w="1169"/>
        <w:gridCol w:w="1029"/>
        <w:gridCol w:w="1399"/>
        <w:gridCol w:w="1476"/>
      </w:tblGrid>
      <w:tr w:rsidR="00CA7F35" w:rsidRPr="00CA7F35" w14:paraId="05FE2972" w14:textId="77777777" w:rsidTr="00CA7F35">
        <w:tc>
          <w:tcPr>
            <w:tcW w:w="8266" w:type="dxa"/>
            <w:gridSpan w:val="6"/>
          </w:tcPr>
          <w:p w14:paraId="15E1797B" w14:textId="62E559B7" w:rsidR="00112F64" w:rsidRPr="00CA7F35" w:rsidRDefault="00541383" w:rsidP="002B358B">
            <w:pPr>
              <w:autoSpaceDE w:val="0"/>
              <w:autoSpaceDN w:val="0"/>
              <w:adjustRightInd w:val="0"/>
              <w:spacing w:line="360" w:lineRule="auto"/>
              <w:ind w:right="60"/>
              <w:jc w:val="both"/>
              <w:rPr>
                <w:rFonts w:eastAsia="Calibri"/>
              </w:rPr>
            </w:pPr>
            <w:r w:rsidRPr="00CA7F35">
              <w:rPr>
                <w:rFonts w:eastAsia="Calibri"/>
              </w:rPr>
              <w:t>Table 4.22</w:t>
            </w:r>
            <w:r w:rsidR="00112F64" w:rsidRPr="00CA7F35">
              <w:rPr>
                <w:rFonts w:eastAsia="Calibri"/>
              </w:rPr>
              <w:t xml:space="preserve"> </w:t>
            </w:r>
          </w:p>
        </w:tc>
      </w:tr>
      <w:tr w:rsidR="00CA7F35" w:rsidRPr="00CA7F35" w14:paraId="76F9BD5E" w14:textId="77777777" w:rsidTr="00CA7F35">
        <w:tc>
          <w:tcPr>
            <w:tcW w:w="3196" w:type="dxa"/>
            <w:gridSpan w:val="2"/>
          </w:tcPr>
          <w:p w14:paraId="0288B204" w14:textId="77777777" w:rsidR="00112F64" w:rsidRPr="00CA7F35" w:rsidRDefault="00112F64" w:rsidP="002B358B">
            <w:pPr>
              <w:autoSpaceDE w:val="0"/>
              <w:autoSpaceDN w:val="0"/>
              <w:adjustRightInd w:val="0"/>
              <w:spacing w:line="360" w:lineRule="auto"/>
              <w:jc w:val="both"/>
              <w:rPr>
                <w:rFonts w:eastAsia="Calibri"/>
              </w:rPr>
            </w:pPr>
          </w:p>
        </w:tc>
        <w:tc>
          <w:tcPr>
            <w:tcW w:w="1168" w:type="dxa"/>
          </w:tcPr>
          <w:p w14:paraId="5121EE6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29" w:type="dxa"/>
          </w:tcPr>
          <w:p w14:paraId="1DC328E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98" w:type="dxa"/>
          </w:tcPr>
          <w:p w14:paraId="6304133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475" w:type="dxa"/>
          </w:tcPr>
          <w:p w14:paraId="2E61BF6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015F5A34" w14:textId="77777777" w:rsidTr="00CA7F35">
        <w:tc>
          <w:tcPr>
            <w:tcW w:w="737" w:type="dxa"/>
            <w:vMerge w:val="restart"/>
          </w:tcPr>
          <w:p w14:paraId="65E2BA4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2459" w:type="dxa"/>
          </w:tcPr>
          <w:p w14:paraId="46103A3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Overloaded electrical connections</w:t>
            </w:r>
          </w:p>
        </w:tc>
        <w:tc>
          <w:tcPr>
            <w:tcW w:w="1168" w:type="dxa"/>
          </w:tcPr>
          <w:p w14:paraId="7796FBD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32</w:t>
            </w:r>
          </w:p>
        </w:tc>
        <w:tc>
          <w:tcPr>
            <w:tcW w:w="1029" w:type="dxa"/>
          </w:tcPr>
          <w:p w14:paraId="7648647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35.6</w:t>
            </w:r>
          </w:p>
        </w:tc>
        <w:tc>
          <w:tcPr>
            <w:tcW w:w="1398" w:type="dxa"/>
          </w:tcPr>
          <w:p w14:paraId="5242D85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35.6</w:t>
            </w:r>
          </w:p>
        </w:tc>
        <w:tc>
          <w:tcPr>
            <w:tcW w:w="1475" w:type="dxa"/>
          </w:tcPr>
          <w:p w14:paraId="6973250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35.6</w:t>
            </w:r>
          </w:p>
        </w:tc>
      </w:tr>
      <w:tr w:rsidR="00CA7F35" w:rsidRPr="00CA7F35" w14:paraId="4B07DACF" w14:textId="77777777" w:rsidTr="00CA7F35">
        <w:tc>
          <w:tcPr>
            <w:tcW w:w="737" w:type="dxa"/>
            <w:vMerge/>
          </w:tcPr>
          <w:p w14:paraId="42143144" w14:textId="77777777" w:rsidR="00112F64" w:rsidRPr="00CA7F35" w:rsidRDefault="00112F64" w:rsidP="002B358B">
            <w:pPr>
              <w:autoSpaceDE w:val="0"/>
              <w:autoSpaceDN w:val="0"/>
              <w:adjustRightInd w:val="0"/>
              <w:spacing w:line="360" w:lineRule="auto"/>
              <w:jc w:val="both"/>
              <w:rPr>
                <w:rFonts w:eastAsia="Calibri"/>
              </w:rPr>
            </w:pPr>
          </w:p>
        </w:tc>
        <w:tc>
          <w:tcPr>
            <w:tcW w:w="2459" w:type="dxa"/>
          </w:tcPr>
          <w:p w14:paraId="1BB2D64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Gas or open flame cooking at stalls</w:t>
            </w:r>
          </w:p>
        </w:tc>
        <w:tc>
          <w:tcPr>
            <w:tcW w:w="1168" w:type="dxa"/>
          </w:tcPr>
          <w:p w14:paraId="36D2EED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17</w:t>
            </w:r>
          </w:p>
        </w:tc>
        <w:tc>
          <w:tcPr>
            <w:tcW w:w="1029" w:type="dxa"/>
          </w:tcPr>
          <w:p w14:paraId="55212C1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18.9</w:t>
            </w:r>
          </w:p>
        </w:tc>
        <w:tc>
          <w:tcPr>
            <w:tcW w:w="1398" w:type="dxa"/>
          </w:tcPr>
          <w:p w14:paraId="74A4FF2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18.9</w:t>
            </w:r>
          </w:p>
        </w:tc>
        <w:tc>
          <w:tcPr>
            <w:tcW w:w="1475" w:type="dxa"/>
          </w:tcPr>
          <w:p w14:paraId="78DCD5E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54.4</w:t>
            </w:r>
          </w:p>
        </w:tc>
      </w:tr>
      <w:tr w:rsidR="00CA7F35" w:rsidRPr="00CA7F35" w14:paraId="5B5DCE96" w14:textId="77777777" w:rsidTr="00CA7F35">
        <w:tc>
          <w:tcPr>
            <w:tcW w:w="737" w:type="dxa"/>
            <w:vMerge/>
          </w:tcPr>
          <w:p w14:paraId="07621ED4" w14:textId="77777777" w:rsidR="00112F64" w:rsidRPr="00CA7F35" w:rsidRDefault="00112F64" w:rsidP="002B358B">
            <w:pPr>
              <w:autoSpaceDE w:val="0"/>
              <w:autoSpaceDN w:val="0"/>
              <w:adjustRightInd w:val="0"/>
              <w:spacing w:line="360" w:lineRule="auto"/>
              <w:jc w:val="both"/>
              <w:rPr>
                <w:rFonts w:eastAsia="Calibri"/>
              </w:rPr>
            </w:pPr>
          </w:p>
        </w:tc>
        <w:tc>
          <w:tcPr>
            <w:tcW w:w="2459" w:type="dxa"/>
          </w:tcPr>
          <w:p w14:paraId="5A45668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Poor spacing and access for firefighting</w:t>
            </w:r>
          </w:p>
        </w:tc>
        <w:tc>
          <w:tcPr>
            <w:tcW w:w="1168" w:type="dxa"/>
          </w:tcPr>
          <w:p w14:paraId="337A6B9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w:t>
            </w:r>
          </w:p>
        </w:tc>
        <w:tc>
          <w:tcPr>
            <w:tcW w:w="1029" w:type="dxa"/>
          </w:tcPr>
          <w:p w14:paraId="7A7F061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398" w:type="dxa"/>
          </w:tcPr>
          <w:p w14:paraId="761A09C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475" w:type="dxa"/>
          </w:tcPr>
          <w:p w14:paraId="5FF52A1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78.9</w:t>
            </w:r>
          </w:p>
        </w:tc>
      </w:tr>
      <w:tr w:rsidR="00CA7F35" w:rsidRPr="00CA7F35" w14:paraId="453DA0B2" w14:textId="77777777" w:rsidTr="00CA7F35">
        <w:tc>
          <w:tcPr>
            <w:tcW w:w="737" w:type="dxa"/>
            <w:vMerge/>
          </w:tcPr>
          <w:p w14:paraId="38CB3CD7" w14:textId="77777777" w:rsidR="00112F64" w:rsidRPr="00CA7F35" w:rsidRDefault="00112F64" w:rsidP="002B358B">
            <w:pPr>
              <w:autoSpaceDE w:val="0"/>
              <w:autoSpaceDN w:val="0"/>
              <w:adjustRightInd w:val="0"/>
              <w:spacing w:line="360" w:lineRule="auto"/>
              <w:jc w:val="both"/>
              <w:rPr>
                <w:rFonts w:eastAsia="Calibri"/>
              </w:rPr>
            </w:pPr>
          </w:p>
        </w:tc>
        <w:tc>
          <w:tcPr>
            <w:tcW w:w="2459" w:type="dxa"/>
          </w:tcPr>
          <w:p w14:paraId="67E9D09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Accumulation of flammable goods</w:t>
            </w:r>
          </w:p>
        </w:tc>
        <w:tc>
          <w:tcPr>
            <w:tcW w:w="1168" w:type="dxa"/>
          </w:tcPr>
          <w:p w14:paraId="0FF4B59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w:t>
            </w:r>
          </w:p>
        </w:tc>
        <w:tc>
          <w:tcPr>
            <w:tcW w:w="1029" w:type="dxa"/>
          </w:tcPr>
          <w:p w14:paraId="39E7D95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7.8</w:t>
            </w:r>
          </w:p>
        </w:tc>
        <w:tc>
          <w:tcPr>
            <w:tcW w:w="1398" w:type="dxa"/>
          </w:tcPr>
          <w:p w14:paraId="0E89DD3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7.8</w:t>
            </w:r>
          </w:p>
        </w:tc>
        <w:tc>
          <w:tcPr>
            <w:tcW w:w="1475" w:type="dxa"/>
          </w:tcPr>
          <w:p w14:paraId="59F91F9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86.7</w:t>
            </w:r>
          </w:p>
        </w:tc>
      </w:tr>
      <w:tr w:rsidR="00CA7F35" w:rsidRPr="00CA7F35" w14:paraId="77D841EA" w14:textId="77777777" w:rsidTr="00CA7F35">
        <w:tc>
          <w:tcPr>
            <w:tcW w:w="737" w:type="dxa"/>
            <w:vMerge/>
          </w:tcPr>
          <w:p w14:paraId="684AB962" w14:textId="77777777" w:rsidR="00112F64" w:rsidRPr="00CA7F35" w:rsidRDefault="00112F64" w:rsidP="002B358B">
            <w:pPr>
              <w:autoSpaceDE w:val="0"/>
              <w:autoSpaceDN w:val="0"/>
              <w:adjustRightInd w:val="0"/>
              <w:spacing w:line="360" w:lineRule="auto"/>
              <w:jc w:val="both"/>
              <w:rPr>
                <w:rFonts w:eastAsia="Calibri"/>
              </w:rPr>
            </w:pPr>
          </w:p>
        </w:tc>
        <w:tc>
          <w:tcPr>
            <w:tcW w:w="2459" w:type="dxa"/>
          </w:tcPr>
          <w:p w14:paraId="15B6D3F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Arson/vandalism</w:t>
            </w:r>
          </w:p>
        </w:tc>
        <w:tc>
          <w:tcPr>
            <w:tcW w:w="1168" w:type="dxa"/>
          </w:tcPr>
          <w:p w14:paraId="21EDC19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w:t>
            </w:r>
          </w:p>
        </w:tc>
        <w:tc>
          <w:tcPr>
            <w:tcW w:w="1029" w:type="dxa"/>
          </w:tcPr>
          <w:p w14:paraId="3929373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13.3</w:t>
            </w:r>
          </w:p>
        </w:tc>
        <w:tc>
          <w:tcPr>
            <w:tcW w:w="1398" w:type="dxa"/>
          </w:tcPr>
          <w:p w14:paraId="7D3825F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13.3</w:t>
            </w:r>
          </w:p>
        </w:tc>
        <w:tc>
          <w:tcPr>
            <w:tcW w:w="1475" w:type="dxa"/>
          </w:tcPr>
          <w:p w14:paraId="6E16B2D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6FDF75B7" w14:textId="77777777" w:rsidTr="00CA7F35">
        <w:tc>
          <w:tcPr>
            <w:tcW w:w="737" w:type="dxa"/>
            <w:vMerge/>
          </w:tcPr>
          <w:p w14:paraId="3E659D6D" w14:textId="77777777" w:rsidR="00112F64" w:rsidRPr="00CA7F35" w:rsidRDefault="00112F64" w:rsidP="002B358B">
            <w:pPr>
              <w:autoSpaceDE w:val="0"/>
              <w:autoSpaceDN w:val="0"/>
              <w:adjustRightInd w:val="0"/>
              <w:spacing w:line="360" w:lineRule="auto"/>
              <w:jc w:val="both"/>
              <w:rPr>
                <w:rFonts w:eastAsia="Calibri"/>
              </w:rPr>
            </w:pPr>
          </w:p>
        </w:tc>
        <w:tc>
          <w:tcPr>
            <w:tcW w:w="2459" w:type="dxa"/>
          </w:tcPr>
          <w:p w14:paraId="5B553C5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168" w:type="dxa"/>
          </w:tcPr>
          <w:p w14:paraId="6FF86BA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29" w:type="dxa"/>
          </w:tcPr>
          <w:p w14:paraId="28460F2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98" w:type="dxa"/>
          </w:tcPr>
          <w:p w14:paraId="22BF206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475" w:type="dxa"/>
          </w:tcPr>
          <w:p w14:paraId="194B1132" w14:textId="77777777" w:rsidR="00112F64" w:rsidRPr="00CA7F35" w:rsidRDefault="00112F64" w:rsidP="002B358B">
            <w:pPr>
              <w:autoSpaceDE w:val="0"/>
              <w:autoSpaceDN w:val="0"/>
              <w:adjustRightInd w:val="0"/>
              <w:spacing w:line="360" w:lineRule="auto"/>
              <w:jc w:val="both"/>
              <w:rPr>
                <w:rFonts w:eastAsia="Calibri"/>
              </w:rPr>
            </w:pPr>
          </w:p>
        </w:tc>
      </w:tr>
    </w:tbl>
    <w:p w14:paraId="6AB3E36A" w14:textId="77777777" w:rsidR="00112F64" w:rsidRPr="00112F64" w:rsidRDefault="00112F64" w:rsidP="002B358B">
      <w:pPr>
        <w:autoSpaceDE w:val="0"/>
        <w:autoSpaceDN w:val="0"/>
        <w:adjustRightInd w:val="0"/>
        <w:spacing w:line="360" w:lineRule="auto"/>
        <w:jc w:val="both"/>
        <w:rPr>
          <w:rFonts w:eastAsia="Calibri"/>
        </w:rPr>
      </w:pPr>
    </w:p>
    <w:p w14:paraId="1228561E" w14:textId="3AF1D5D8" w:rsidR="00112F64" w:rsidRPr="00112F64" w:rsidRDefault="00112F64" w:rsidP="002B358B">
      <w:pPr>
        <w:spacing w:line="360" w:lineRule="auto"/>
        <w:jc w:val="both"/>
        <w:rPr>
          <w:rFonts w:eastAsia="Calibri"/>
        </w:rPr>
      </w:pPr>
      <w:r w:rsidRPr="00112F64">
        <w:rPr>
          <w:rFonts w:eastAsia="Calibri"/>
        </w:rPr>
        <w:t>From the responses</w:t>
      </w:r>
      <w:r w:rsidR="00541383">
        <w:rPr>
          <w:rFonts w:eastAsia="Calibri"/>
        </w:rPr>
        <w:t xml:space="preserve"> as shown in Table 4.22</w:t>
      </w:r>
      <w:r w:rsidRPr="00112F64">
        <w:rPr>
          <w:rFonts w:eastAsia="Calibri"/>
        </w:rPr>
        <w:t>, overloaded electrical connections are the leading factor of market fires at 35.6%, followed by poor spacing and access for firefighting at 24.4%, then gas or open flame cooking at stalls at 18.9%. Arson or vandalism accounts for 13.3%, with the accumulation of flammable goods at 7.8% as a less common contributor. The data suggest that electrical safety, better market layout for access, and regulation of open flames are key targets to reduce market fires.</w:t>
      </w:r>
    </w:p>
    <w:p w14:paraId="307C72FF" w14:textId="77777777" w:rsidR="00112F64" w:rsidRPr="00112F64" w:rsidRDefault="00112F64" w:rsidP="002B358B">
      <w:pPr>
        <w:autoSpaceDE w:val="0"/>
        <w:autoSpaceDN w:val="0"/>
        <w:adjustRightInd w:val="0"/>
        <w:spacing w:line="360" w:lineRule="auto"/>
        <w:jc w:val="both"/>
        <w:rPr>
          <w:rFonts w:eastAsia="Calibri"/>
        </w:rPr>
      </w:pPr>
    </w:p>
    <w:p w14:paraId="31548006" w14:textId="77777777" w:rsidR="00112F64" w:rsidRPr="00112F64" w:rsidRDefault="00112F64" w:rsidP="002B358B">
      <w:pPr>
        <w:autoSpaceDE w:val="0"/>
        <w:autoSpaceDN w:val="0"/>
        <w:adjustRightInd w:val="0"/>
        <w:spacing w:line="360" w:lineRule="auto"/>
        <w:jc w:val="both"/>
        <w:rPr>
          <w:rFonts w:eastAsia="Calibri"/>
        </w:rPr>
      </w:pPr>
      <w:r w:rsidRPr="00112F64">
        <w:rPr>
          <w:rFonts w:eastAsia="Calibri"/>
          <w:b/>
          <w:bCs/>
          <w:color w:val="010205"/>
        </w:rPr>
        <w:t>Home industries</w:t>
      </w:r>
    </w:p>
    <w:p w14:paraId="11C0226D" w14:textId="3FFE2FA2" w:rsidR="00112F64" w:rsidRPr="00CA7F35" w:rsidRDefault="00541383" w:rsidP="002B358B">
      <w:pPr>
        <w:autoSpaceDE w:val="0"/>
        <w:autoSpaceDN w:val="0"/>
        <w:adjustRightInd w:val="0"/>
        <w:spacing w:line="360" w:lineRule="auto"/>
        <w:jc w:val="both"/>
        <w:rPr>
          <w:rFonts w:eastAsia="Calibri"/>
          <w:b/>
          <w:bCs/>
        </w:rPr>
      </w:pPr>
      <w:r w:rsidRPr="00CA7F35">
        <w:rPr>
          <w:rFonts w:eastAsia="Calibri"/>
          <w:b/>
          <w:bCs/>
        </w:rPr>
        <w:t>Table 4.23</w:t>
      </w:r>
      <w:r w:rsidRPr="00CA7F35">
        <w:rPr>
          <w:rFonts w:eastAsia="Calibri"/>
          <w:b/>
          <w:bCs/>
          <w:color w:val="010205"/>
          <w:sz w:val="22"/>
          <w:szCs w:val="22"/>
        </w:rPr>
        <w:t xml:space="preserve"> Primary fire risks in </w:t>
      </w:r>
      <w:bookmarkStart w:id="103" w:name="_Hlk215431520"/>
      <w:r w:rsidRPr="00CA7F35">
        <w:rPr>
          <w:rFonts w:eastAsia="Calibri"/>
          <w:b/>
          <w:bCs/>
          <w:color w:val="010205"/>
          <w:sz w:val="22"/>
          <w:szCs w:val="22"/>
        </w:rPr>
        <w:t>home industries</w:t>
      </w:r>
      <w:bookmarkEnd w:id="103"/>
    </w:p>
    <w:tbl>
      <w:tblPr>
        <w:tblStyle w:val="TableGrid"/>
        <w:tblW w:w="8270" w:type="dxa"/>
        <w:tblLayout w:type="fixed"/>
        <w:tblLook w:val="0000" w:firstRow="0" w:lastRow="0" w:firstColumn="0" w:lastColumn="0" w:noHBand="0" w:noVBand="0"/>
      </w:tblPr>
      <w:tblGrid>
        <w:gridCol w:w="737"/>
        <w:gridCol w:w="2460"/>
        <w:gridCol w:w="1298"/>
        <w:gridCol w:w="1080"/>
        <w:gridCol w:w="1219"/>
        <w:gridCol w:w="1476"/>
      </w:tblGrid>
      <w:tr w:rsidR="00CA7F35" w:rsidRPr="00CA7F35" w14:paraId="6B201EFC" w14:textId="77777777" w:rsidTr="00CA7F35">
        <w:tc>
          <w:tcPr>
            <w:tcW w:w="8270" w:type="dxa"/>
            <w:gridSpan w:val="6"/>
          </w:tcPr>
          <w:p w14:paraId="12F56493" w14:textId="3C5DF274" w:rsidR="00112F64" w:rsidRPr="00CA7F35" w:rsidRDefault="00112F64" w:rsidP="002B358B">
            <w:pPr>
              <w:autoSpaceDE w:val="0"/>
              <w:autoSpaceDN w:val="0"/>
              <w:adjustRightInd w:val="0"/>
              <w:spacing w:line="360" w:lineRule="auto"/>
              <w:ind w:right="60"/>
              <w:jc w:val="both"/>
              <w:rPr>
                <w:rFonts w:eastAsia="Calibri"/>
              </w:rPr>
            </w:pPr>
          </w:p>
        </w:tc>
      </w:tr>
      <w:tr w:rsidR="00CA7F35" w:rsidRPr="00CA7F35" w14:paraId="19FE84CC" w14:textId="77777777" w:rsidTr="00CA7F35">
        <w:trPr>
          <w:trHeight w:val="800"/>
        </w:trPr>
        <w:tc>
          <w:tcPr>
            <w:tcW w:w="3197" w:type="dxa"/>
            <w:gridSpan w:val="2"/>
          </w:tcPr>
          <w:p w14:paraId="4A51A39B" w14:textId="77777777" w:rsidR="00112F64" w:rsidRPr="00CA7F35" w:rsidRDefault="00112F64" w:rsidP="002B358B">
            <w:pPr>
              <w:autoSpaceDE w:val="0"/>
              <w:autoSpaceDN w:val="0"/>
              <w:adjustRightInd w:val="0"/>
              <w:spacing w:line="360" w:lineRule="auto"/>
              <w:jc w:val="both"/>
              <w:rPr>
                <w:rFonts w:eastAsia="Calibri"/>
              </w:rPr>
            </w:pPr>
          </w:p>
        </w:tc>
        <w:tc>
          <w:tcPr>
            <w:tcW w:w="1298" w:type="dxa"/>
          </w:tcPr>
          <w:p w14:paraId="38FE471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80" w:type="dxa"/>
          </w:tcPr>
          <w:p w14:paraId="0DFA897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219" w:type="dxa"/>
          </w:tcPr>
          <w:p w14:paraId="5F78459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476" w:type="dxa"/>
          </w:tcPr>
          <w:p w14:paraId="2413786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04CC7ACA" w14:textId="77777777" w:rsidTr="00CA7F35">
        <w:tc>
          <w:tcPr>
            <w:tcW w:w="737" w:type="dxa"/>
            <w:vMerge w:val="restart"/>
          </w:tcPr>
          <w:p w14:paraId="5439523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2460" w:type="dxa"/>
          </w:tcPr>
          <w:p w14:paraId="3614B69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Gas/charcoal stoves</w:t>
            </w:r>
          </w:p>
        </w:tc>
        <w:tc>
          <w:tcPr>
            <w:tcW w:w="1298" w:type="dxa"/>
          </w:tcPr>
          <w:p w14:paraId="53AE97A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w:t>
            </w:r>
          </w:p>
        </w:tc>
        <w:tc>
          <w:tcPr>
            <w:tcW w:w="1080" w:type="dxa"/>
          </w:tcPr>
          <w:p w14:paraId="6BFD9E3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11.1</w:t>
            </w:r>
          </w:p>
        </w:tc>
        <w:tc>
          <w:tcPr>
            <w:tcW w:w="1219" w:type="dxa"/>
          </w:tcPr>
          <w:p w14:paraId="7BAC748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11.1</w:t>
            </w:r>
          </w:p>
        </w:tc>
        <w:tc>
          <w:tcPr>
            <w:tcW w:w="1476" w:type="dxa"/>
          </w:tcPr>
          <w:p w14:paraId="2200691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11.1</w:t>
            </w:r>
          </w:p>
        </w:tc>
      </w:tr>
      <w:tr w:rsidR="00CA7F35" w:rsidRPr="00CA7F35" w14:paraId="66C0C48E" w14:textId="77777777" w:rsidTr="00CA7F35">
        <w:tc>
          <w:tcPr>
            <w:tcW w:w="737" w:type="dxa"/>
            <w:vMerge/>
          </w:tcPr>
          <w:p w14:paraId="338F4C49"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1B6E492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Electrical adapters and unsafe wiring</w:t>
            </w:r>
          </w:p>
        </w:tc>
        <w:tc>
          <w:tcPr>
            <w:tcW w:w="1298" w:type="dxa"/>
          </w:tcPr>
          <w:p w14:paraId="70F89B8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36</w:t>
            </w:r>
          </w:p>
        </w:tc>
        <w:tc>
          <w:tcPr>
            <w:tcW w:w="1080" w:type="dxa"/>
          </w:tcPr>
          <w:p w14:paraId="0C7385C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40.0</w:t>
            </w:r>
          </w:p>
        </w:tc>
        <w:tc>
          <w:tcPr>
            <w:tcW w:w="1219" w:type="dxa"/>
          </w:tcPr>
          <w:p w14:paraId="46DEEC6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40.0</w:t>
            </w:r>
          </w:p>
        </w:tc>
        <w:tc>
          <w:tcPr>
            <w:tcW w:w="1476" w:type="dxa"/>
          </w:tcPr>
          <w:p w14:paraId="711FA9C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51.1</w:t>
            </w:r>
          </w:p>
        </w:tc>
      </w:tr>
      <w:tr w:rsidR="00CA7F35" w:rsidRPr="00CA7F35" w14:paraId="31907BF0" w14:textId="77777777" w:rsidTr="00CA7F35">
        <w:tc>
          <w:tcPr>
            <w:tcW w:w="737" w:type="dxa"/>
            <w:vMerge/>
          </w:tcPr>
          <w:p w14:paraId="0C415B46"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42573E2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Storage of flammable liquids</w:t>
            </w:r>
          </w:p>
        </w:tc>
        <w:tc>
          <w:tcPr>
            <w:tcW w:w="1298" w:type="dxa"/>
          </w:tcPr>
          <w:p w14:paraId="27F95BE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w:t>
            </w:r>
          </w:p>
        </w:tc>
        <w:tc>
          <w:tcPr>
            <w:tcW w:w="1080" w:type="dxa"/>
          </w:tcPr>
          <w:p w14:paraId="24487E8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219" w:type="dxa"/>
          </w:tcPr>
          <w:p w14:paraId="0C2B867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476" w:type="dxa"/>
          </w:tcPr>
          <w:p w14:paraId="7CD2799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55.6</w:t>
            </w:r>
          </w:p>
        </w:tc>
      </w:tr>
      <w:tr w:rsidR="00CA7F35" w:rsidRPr="00CA7F35" w14:paraId="33774C42" w14:textId="77777777" w:rsidTr="00CA7F35">
        <w:tc>
          <w:tcPr>
            <w:tcW w:w="737" w:type="dxa"/>
            <w:vMerge/>
          </w:tcPr>
          <w:p w14:paraId="0EEF826D"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156B5A1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Overcrowded stalls/workspaces</w:t>
            </w:r>
          </w:p>
        </w:tc>
        <w:tc>
          <w:tcPr>
            <w:tcW w:w="1298" w:type="dxa"/>
          </w:tcPr>
          <w:p w14:paraId="526B79D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w:t>
            </w:r>
          </w:p>
        </w:tc>
        <w:tc>
          <w:tcPr>
            <w:tcW w:w="1080" w:type="dxa"/>
          </w:tcPr>
          <w:p w14:paraId="002F3A3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8.9</w:t>
            </w:r>
          </w:p>
        </w:tc>
        <w:tc>
          <w:tcPr>
            <w:tcW w:w="1219" w:type="dxa"/>
          </w:tcPr>
          <w:p w14:paraId="2ED9913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8.9</w:t>
            </w:r>
          </w:p>
        </w:tc>
        <w:tc>
          <w:tcPr>
            <w:tcW w:w="1476" w:type="dxa"/>
          </w:tcPr>
          <w:p w14:paraId="6BA4FC7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64.4</w:t>
            </w:r>
          </w:p>
        </w:tc>
      </w:tr>
      <w:tr w:rsidR="00CA7F35" w:rsidRPr="00CA7F35" w14:paraId="75D5570D" w14:textId="77777777" w:rsidTr="00CA7F35">
        <w:tc>
          <w:tcPr>
            <w:tcW w:w="737" w:type="dxa"/>
            <w:vMerge/>
          </w:tcPr>
          <w:p w14:paraId="02B55BC5"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028E353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Poor waste management</w:t>
            </w:r>
          </w:p>
        </w:tc>
        <w:tc>
          <w:tcPr>
            <w:tcW w:w="1298" w:type="dxa"/>
          </w:tcPr>
          <w:p w14:paraId="249D202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w:t>
            </w:r>
          </w:p>
        </w:tc>
        <w:tc>
          <w:tcPr>
            <w:tcW w:w="1080" w:type="dxa"/>
          </w:tcPr>
          <w:p w14:paraId="3AE680F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219" w:type="dxa"/>
          </w:tcPr>
          <w:p w14:paraId="37EDE33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4.4</w:t>
            </w:r>
          </w:p>
        </w:tc>
        <w:tc>
          <w:tcPr>
            <w:tcW w:w="1476" w:type="dxa"/>
          </w:tcPr>
          <w:p w14:paraId="3C326EE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68.9</w:t>
            </w:r>
          </w:p>
        </w:tc>
      </w:tr>
      <w:tr w:rsidR="00CA7F35" w:rsidRPr="00CA7F35" w14:paraId="4529A387" w14:textId="77777777" w:rsidTr="00CA7F35">
        <w:tc>
          <w:tcPr>
            <w:tcW w:w="737" w:type="dxa"/>
            <w:vMerge/>
          </w:tcPr>
          <w:p w14:paraId="14798456"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14D69F6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Inadequate fire safety awareness</w:t>
            </w:r>
          </w:p>
        </w:tc>
        <w:tc>
          <w:tcPr>
            <w:tcW w:w="1298" w:type="dxa"/>
          </w:tcPr>
          <w:p w14:paraId="08ADE2D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28</w:t>
            </w:r>
          </w:p>
        </w:tc>
        <w:tc>
          <w:tcPr>
            <w:tcW w:w="1080" w:type="dxa"/>
          </w:tcPr>
          <w:p w14:paraId="11E3792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31.1</w:t>
            </w:r>
          </w:p>
        </w:tc>
        <w:tc>
          <w:tcPr>
            <w:tcW w:w="1219" w:type="dxa"/>
          </w:tcPr>
          <w:p w14:paraId="5EAC292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31.1</w:t>
            </w:r>
          </w:p>
        </w:tc>
        <w:tc>
          <w:tcPr>
            <w:tcW w:w="1476" w:type="dxa"/>
          </w:tcPr>
          <w:p w14:paraId="0DB3C8C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020C7672" w14:textId="77777777" w:rsidTr="00CA7F35">
        <w:tc>
          <w:tcPr>
            <w:tcW w:w="737" w:type="dxa"/>
            <w:vMerge/>
          </w:tcPr>
          <w:p w14:paraId="69733ED8" w14:textId="77777777" w:rsidR="00112F64" w:rsidRPr="00CA7F35" w:rsidRDefault="00112F64" w:rsidP="002B358B">
            <w:pPr>
              <w:autoSpaceDE w:val="0"/>
              <w:autoSpaceDN w:val="0"/>
              <w:adjustRightInd w:val="0"/>
              <w:spacing w:line="360" w:lineRule="auto"/>
              <w:jc w:val="both"/>
              <w:rPr>
                <w:rFonts w:eastAsia="Calibri"/>
              </w:rPr>
            </w:pPr>
          </w:p>
        </w:tc>
        <w:tc>
          <w:tcPr>
            <w:tcW w:w="2460" w:type="dxa"/>
          </w:tcPr>
          <w:p w14:paraId="053EC54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298" w:type="dxa"/>
          </w:tcPr>
          <w:p w14:paraId="5423025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5E1DC3B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219" w:type="dxa"/>
          </w:tcPr>
          <w:p w14:paraId="36EACE0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476" w:type="dxa"/>
          </w:tcPr>
          <w:p w14:paraId="68EDB382" w14:textId="77777777" w:rsidR="00112F64" w:rsidRPr="00CA7F35" w:rsidRDefault="00112F64" w:rsidP="002B358B">
            <w:pPr>
              <w:autoSpaceDE w:val="0"/>
              <w:autoSpaceDN w:val="0"/>
              <w:adjustRightInd w:val="0"/>
              <w:spacing w:line="360" w:lineRule="auto"/>
              <w:jc w:val="both"/>
              <w:rPr>
                <w:rFonts w:eastAsia="Calibri"/>
              </w:rPr>
            </w:pPr>
          </w:p>
        </w:tc>
      </w:tr>
    </w:tbl>
    <w:p w14:paraId="33289C53" w14:textId="77777777" w:rsidR="00112F64" w:rsidRPr="00112F64" w:rsidRDefault="00112F64" w:rsidP="002B358B">
      <w:pPr>
        <w:autoSpaceDE w:val="0"/>
        <w:autoSpaceDN w:val="0"/>
        <w:adjustRightInd w:val="0"/>
        <w:spacing w:line="360" w:lineRule="auto"/>
        <w:jc w:val="both"/>
        <w:rPr>
          <w:rFonts w:eastAsia="Calibri"/>
        </w:rPr>
      </w:pPr>
    </w:p>
    <w:p w14:paraId="3801FCBD" w14:textId="1E80C145" w:rsidR="00112F64" w:rsidRPr="00112F64" w:rsidRDefault="00112F64" w:rsidP="002B358B">
      <w:pPr>
        <w:autoSpaceDE w:val="0"/>
        <w:autoSpaceDN w:val="0"/>
        <w:adjustRightInd w:val="0"/>
        <w:spacing w:line="360" w:lineRule="auto"/>
        <w:jc w:val="both"/>
        <w:rPr>
          <w:rFonts w:eastAsia="Calibri"/>
        </w:rPr>
      </w:pPr>
      <w:r w:rsidRPr="00112F64">
        <w:rPr>
          <w:rFonts w:eastAsia="Calibri"/>
        </w:rPr>
        <w:t xml:space="preserve">The data </w:t>
      </w:r>
      <w:r w:rsidR="00541383">
        <w:rPr>
          <w:rFonts w:eastAsia="Calibri"/>
        </w:rPr>
        <w:t>above as displayed by Table 4.23</w:t>
      </w:r>
      <w:r w:rsidRPr="00112F64">
        <w:rPr>
          <w:rFonts w:eastAsia="Calibri"/>
        </w:rPr>
        <w:t xml:space="preserve"> identify electrical hazards as the top concern, with 40% of responses for “Electrical adapters and unsafe wiring,” followed by 31.1% for “Inadequate fire safety awareness,” highlighting gaps in electrical safety and fire prevention knowledge in home-based industries.  Other notable risks include “Gas/charcoal stoves” (11.1%) and “Overcrowded stalls/workspaces” (8.9%), with less frequent but relevant risks from “Storage of flammable liquids” and “Poor waste management” (each 4.4%). Electrical safety and fire safety awareness are the primary drivers of risk, and addressing these through education, proper wiring practices, and safe storage can significantly reduce fire hazards.</w:t>
      </w:r>
    </w:p>
    <w:p w14:paraId="3F49AE4F" w14:textId="77777777" w:rsidR="00112F64" w:rsidRPr="00112F64" w:rsidRDefault="00112F64" w:rsidP="002B358B">
      <w:pPr>
        <w:autoSpaceDE w:val="0"/>
        <w:autoSpaceDN w:val="0"/>
        <w:adjustRightInd w:val="0"/>
        <w:spacing w:line="360" w:lineRule="auto"/>
        <w:jc w:val="both"/>
        <w:rPr>
          <w:rFonts w:eastAsia="Calibri"/>
        </w:rPr>
      </w:pPr>
    </w:p>
    <w:p w14:paraId="08B0E9C4" w14:textId="6B32719B" w:rsidR="00112F64" w:rsidRPr="00240CC8" w:rsidRDefault="00112F64" w:rsidP="002B358B">
      <w:pPr>
        <w:spacing w:line="360" w:lineRule="auto"/>
        <w:jc w:val="both"/>
        <w:rPr>
          <w:rFonts w:eastAsia="Calibri"/>
          <w:b/>
          <w:bCs/>
          <w:color w:val="000000" w:themeColor="text1"/>
        </w:rPr>
      </w:pPr>
      <w:bookmarkStart w:id="104" w:name="_Hlk215431710"/>
      <w:r w:rsidRPr="00240CC8">
        <w:rPr>
          <w:rFonts w:eastAsia="Calibri"/>
          <w:b/>
          <w:bCs/>
          <w:color w:val="000000" w:themeColor="text1"/>
        </w:rPr>
        <w:t>4.</w:t>
      </w:r>
      <w:r w:rsidR="00B560D5">
        <w:rPr>
          <w:rFonts w:eastAsia="Calibri"/>
          <w:b/>
          <w:bCs/>
          <w:color w:val="000000" w:themeColor="text1"/>
        </w:rPr>
        <w:t>4</w:t>
      </w:r>
      <w:r w:rsidRPr="00240CC8">
        <w:rPr>
          <w:rFonts w:eastAsia="Calibri"/>
          <w:b/>
          <w:bCs/>
          <w:color w:val="000000" w:themeColor="text1"/>
        </w:rPr>
        <w:t xml:space="preserve">.3 </w:t>
      </w:r>
      <w:bookmarkEnd w:id="104"/>
      <w:r w:rsidRPr="00240CC8">
        <w:rPr>
          <w:rFonts w:eastAsia="Calibri"/>
          <w:b/>
          <w:bCs/>
          <w:color w:val="000000" w:themeColor="text1"/>
        </w:rPr>
        <w:t>Prevention and Preparedness Behaviours</w:t>
      </w:r>
    </w:p>
    <w:p w14:paraId="0604A83F" w14:textId="77777777" w:rsidR="00112F64" w:rsidRPr="00112F64" w:rsidRDefault="00112F64">
      <w:pPr>
        <w:numPr>
          <w:ilvl w:val="0"/>
          <w:numId w:val="11"/>
        </w:numPr>
        <w:spacing w:line="360" w:lineRule="auto"/>
        <w:contextualSpacing/>
        <w:jc w:val="both"/>
        <w:rPr>
          <w:rFonts w:eastAsia="Calibri"/>
          <w:b/>
          <w:bCs/>
          <w:color w:val="000000"/>
        </w:rPr>
      </w:pPr>
      <w:r w:rsidRPr="00112F64">
        <w:rPr>
          <w:rFonts w:eastAsia="Calibri"/>
          <w:b/>
          <w:bCs/>
          <w:color w:val="000000"/>
        </w:rPr>
        <w:t>Effectiveness of fire alarm systems, extinguishers, and evacuation plans during fire incidents</w:t>
      </w:r>
    </w:p>
    <w:p w14:paraId="7BB73A85" w14:textId="4232322B" w:rsidR="00112F64" w:rsidRPr="00112F64" w:rsidRDefault="00240CC8" w:rsidP="002B358B">
      <w:pPr>
        <w:autoSpaceDE w:val="0"/>
        <w:autoSpaceDN w:val="0"/>
        <w:adjustRightInd w:val="0"/>
        <w:spacing w:line="360" w:lineRule="auto"/>
        <w:jc w:val="both"/>
        <w:rPr>
          <w:rFonts w:eastAsia="Calibri"/>
        </w:rPr>
      </w:pPr>
      <w:r>
        <w:rPr>
          <w:rFonts w:eastAsia="Calibri"/>
        </w:rPr>
        <w:t>The data in table 4.24</w:t>
      </w:r>
      <w:r w:rsidR="00112F64" w:rsidRPr="00112F64">
        <w:rPr>
          <w:rFonts w:eastAsia="Calibri"/>
        </w:rPr>
        <w:t xml:space="preserve"> shows that respondents perceive fire safety measures (alarm systems, extinguishers, and evacuation plans) as generally effective, with 50% rating them as “Effective” and 25.6% as “Very effective.” An additional 12.2% view them as “Somewhat effective,” while only 3.3% consider them “Not effective” and 8.9% are unsure. Overall, most respondents express high confidence in fire safety preparedness, highlighting the importance of these measures and the potential need for continued education or improvements.</w:t>
      </w:r>
    </w:p>
    <w:p w14:paraId="3F4D0504" w14:textId="77777777" w:rsidR="00112F64" w:rsidRPr="00112F64" w:rsidRDefault="00112F64" w:rsidP="002B358B">
      <w:pPr>
        <w:spacing w:line="360" w:lineRule="auto"/>
        <w:jc w:val="both"/>
        <w:rPr>
          <w:rFonts w:eastAsia="Calibri"/>
          <w:b/>
          <w:bCs/>
          <w:color w:val="000000"/>
        </w:rPr>
      </w:pPr>
    </w:p>
    <w:p w14:paraId="08C6384F" w14:textId="77777777" w:rsidR="00112F64" w:rsidRPr="00112F64" w:rsidRDefault="00112F64" w:rsidP="002B358B">
      <w:pPr>
        <w:spacing w:line="360" w:lineRule="auto"/>
        <w:jc w:val="both"/>
        <w:rPr>
          <w:rFonts w:eastAsia="Calibri"/>
          <w:color w:val="000000"/>
        </w:rPr>
      </w:pPr>
    </w:p>
    <w:tbl>
      <w:tblPr>
        <w:tblStyle w:val="TableGrid"/>
        <w:tblW w:w="8005" w:type="dxa"/>
        <w:tblLayout w:type="fixed"/>
        <w:tblLook w:val="0000" w:firstRow="0" w:lastRow="0" w:firstColumn="0" w:lastColumn="0" w:noHBand="0" w:noVBand="0"/>
      </w:tblPr>
      <w:tblGrid>
        <w:gridCol w:w="895"/>
        <w:gridCol w:w="1763"/>
        <w:gridCol w:w="1387"/>
        <w:gridCol w:w="1080"/>
        <w:gridCol w:w="1350"/>
        <w:gridCol w:w="1530"/>
      </w:tblGrid>
      <w:tr w:rsidR="00CA7F35" w:rsidRPr="00CA7F35" w14:paraId="18DE5C42" w14:textId="77777777" w:rsidTr="00CA7F35">
        <w:tc>
          <w:tcPr>
            <w:tcW w:w="8005" w:type="dxa"/>
            <w:gridSpan w:val="6"/>
          </w:tcPr>
          <w:p w14:paraId="7E78EDD5" w14:textId="0048F47A" w:rsidR="00240CC8" w:rsidRPr="00CA7F35" w:rsidRDefault="00541383" w:rsidP="002B358B">
            <w:pPr>
              <w:spacing w:line="360" w:lineRule="auto"/>
              <w:jc w:val="both"/>
              <w:rPr>
                <w:rFonts w:eastAsia="Calibri"/>
                <w:b/>
                <w:bCs/>
              </w:rPr>
            </w:pPr>
            <w:r w:rsidRPr="00CA7F35">
              <w:rPr>
                <w:rFonts w:eastAsia="Calibri"/>
                <w:b/>
                <w:bCs/>
              </w:rPr>
              <w:t>Table 4.24</w:t>
            </w:r>
            <w:r w:rsidR="00240CC8" w:rsidRPr="00CA7F35">
              <w:rPr>
                <w:rFonts w:eastAsia="Calibri"/>
                <w:b/>
                <w:bCs/>
              </w:rPr>
              <w:t xml:space="preserve"> Preparedness Behaviours</w:t>
            </w:r>
          </w:p>
          <w:p w14:paraId="376AD79C" w14:textId="6A58F7F1" w:rsidR="00112F64" w:rsidRPr="00CA7F35" w:rsidRDefault="00112F64" w:rsidP="002B358B">
            <w:pPr>
              <w:autoSpaceDE w:val="0"/>
              <w:autoSpaceDN w:val="0"/>
              <w:adjustRightInd w:val="0"/>
              <w:spacing w:line="360" w:lineRule="auto"/>
              <w:ind w:right="60"/>
              <w:jc w:val="both"/>
              <w:rPr>
                <w:rFonts w:eastAsia="Calibri"/>
              </w:rPr>
            </w:pPr>
          </w:p>
        </w:tc>
      </w:tr>
      <w:tr w:rsidR="00CA7F35" w:rsidRPr="00CA7F35" w14:paraId="555E5FF0" w14:textId="77777777" w:rsidTr="00CA7F35">
        <w:tc>
          <w:tcPr>
            <w:tcW w:w="2658" w:type="dxa"/>
            <w:gridSpan w:val="2"/>
          </w:tcPr>
          <w:p w14:paraId="258608A0" w14:textId="77777777" w:rsidR="00112F64" w:rsidRPr="00CA7F35" w:rsidRDefault="00112F64" w:rsidP="002B358B">
            <w:pPr>
              <w:autoSpaceDE w:val="0"/>
              <w:autoSpaceDN w:val="0"/>
              <w:adjustRightInd w:val="0"/>
              <w:spacing w:line="360" w:lineRule="auto"/>
              <w:jc w:val="both"/>
              <w:rPr>
                <w:rFonts w:eastAsia="Calibri"/>
              </w:rPr>
            </w:pPr>
          </w:p>
        </w:tc>
        <w:tc>
          <w:tcPr>
            <w:tcW w:w="1387" w:type="dxa"/>
          </w:tcPr>
          <w:p w14:paraId="2205A1E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80" w:type="dxa"/>
          </w:tcPr>
          <w:p w14:paraId="4D20716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50" w:type="dxa"/>
          </w:tcPr>
          <w:p w14:paraId="70AB8AD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530" w:type="dxa"/>
          </w:tcPr>
          <w:p w14:paraId="7FFAD8D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552418CB" w14:textId="77777777" w:rsidTr="00CA7F35">
        <w:tc>
          <w:tcPr>
            <w:tcW w:w="895" w:type="dxa"/>
            <w:vMerge w:val="restart"/>
          </w:tcPr>
          <w:p w14:paraId="2093694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1763" w:type="dxa"/>
          </w:tcPr>
          <w:p w14:paraId="523BBD7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Very effective</w:t>
            </w:r>
          </w:p>
        </w:tc>
        <w:tc>
          <w:tcPr>
            <w:tcW w:w="1387" w:type="dxa"/>
          </w:tcPr>
          <w:p w14:paraId="58E12A5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23</w:t>
            </w:r>
          </w:p>
        </w:tc>
        <w:tc>
          <w:tcPr>
            <w:tcW w:w="1080" w:type="dxa"/>
          </w:tcPr>
          <w:p w14:paraId="5121515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25.6</w:t>
            </w:r>
          </w:p>
        </w:tc>
        <w:tc>
          <w:tcPr>
            <w:tcW w:w="1350" w:type="dxa"/>
          </w:tcPr>
          <w:p w14:paraId="0639A63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25.6</w:t>
            </w:r>
          </w:p>
        </w:tc>
        <w:tc>
          <w:tcPr>
            <w:tcW w:w="1530" w:type="dxa"/>
          </w:tcPr>
          <w:p w14:paraId="6CAA1CE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25.6</w:t>
            </w:r>
          </w:p>
        </w:tc>
      </w:tr>
      <w:tr w:rsidR="00CA7F35" w:rsidRPr="00CA7F35" w14:paraId="1DAF0804" w14:textId="77777777" w:rsidTr="00CA7F35">
        <w:tc>
          <w:tcPr>
            <w:tcW w:w="895" w:type="dxa"/>
            <w:vMerge/>
          </w:tcPr>
          <w:p w14:paraId="64D81137" w14:textId="77777777" w:rsidR="00112F64" w:rsidRPr="00CA7F35" w:rsidRDefault="00112F64" w:rsidP="002B358B">
            <w:pPr>
              <w:autoSpaceDE w:val="0"/>
              <w:autoSpaceDN w:val="0"/>
              <w:adjustRightInd w:val="0"/>
              <w:spacing w:line="360" w:lineRule="auto"/>
              <w:jc w:val="both"/>
              <w:rPr>
                <w:rFonts w:eastAsia="Calibri"/>
              </w:rPr>
            </w:pPr>
          </w:p>
        </w:tc>
        <w:tc>
          <w:tcPr>
            <w:tcW w:w="1763" w:type="dxa"/>
          </w:tcPr>
          <w:p w14:paraId="5019534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Effective</w:t>
            </w:r>
          </w:p>
        </w:tc>
        <w:tc>
          <w:tcPr>
            <w:tcW w:w="1387" w:type="dxa"/>
          </w:tcPr>
          <w:p w14:paraId="769CC4F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45</w:t>
            </w:r>
          </w:p>
        </w:tc>
        <w:tc>
          <w:tcPr>
            <w:tcW w:w="1080" w:type="dxa"/>
          </w:tcPr>
          <w:p w14:paraId="773E74A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50.0</w:t>
            </w:r>
          </w:p>
        </w:tc>
        <w:tc>
          <w:tcPr>
            <w:tcW w:w="1350" w:type="dxa"/>
          </w:tcPr>
          <w:p w14:paraId="320E1AF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50.0</w:t>
            </w:r>
          </w:p>
        </w:tc>
        <w:tc>
          <w:tcPr>
            <w:tcW w:w="1530" w:type="dxa"/>
          </w:tcPr>
          <w:p w14:paraId="622E1A2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75.6</w:t>
            </w:r>
          </w:p>
        </w:tc>
      </w:tr>
      <w:tr w:rsidR="00CA7F35" w:rsidRPr="00CA7F35" w14:paraId="7137105A" w14:textId="77777777" w:rsidTr="00CA7F35">
        <w:tc>
          <w:tcPr>
            <w:tcW w:w="895" w:type="dxa"/>
            <w:vMerge/>
          </w:tcPr>
          <w:p w14:paraId="5ED348DC" w14:textId="77777777" w:rsidR="00112F64" w:rsidRPr="00CA7F35" w:rsidRDefault="00112F64" w:rsidP="002B358B">
            <w:pPr>
              <w:autoSpaceDE w:val="0"/>
              <w:autoSpaceDN w:val="0"/>
              <w:adjustRightInd w:val="0"/>
              <w:spacing w:line="360" w:lineRule="auto"/>
              <w:jc w:val="both"/>
              <w:rPr>
                <w:rFonts w:eastAsia="Calibri"/>
              </w:rPr>
            </w:pPr>
          </w:p>
        </w:tc>
        <w:tc>
          <w:tcPr>
            <w:tcW w:w="1763" w:type="dxa"/>
          </w:tcPr>
          <w:p w14:paraId="6A9EFDB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Somewhat effective</w:t>
            </w:r>
          </w:p>
        </w:tc>
        <w:tc>
          <w:tcPr>
            <w:tcW w:w="1387" w:type="dxa"/>
          </w:tcPr>
          <w:p w14:paraId="7078D8A8"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11</w:t>
            </w:r>
          </w:p>
        </w:tc>
        <w:tc>
          <w:tcPr>
            <w:tcW w:w="1080" w:type="dxa"/>
          </w:tcPr>
          <w:p w14:paraId="671C8A2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12.2</w:t>
            </w:r>
          </w:p>
        </w:tc>
        <w:tc>
          <w:tcPr>
            <w:tcW w:w="1350" w:type="dxa"/>
          </w:tcPr>
          <w:p w14:paraId="4CEE0F4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12.2</w:t>
            </w:r>
          </w:p>
        </w:tc>
        <w:tc>
          <w:tcPr>
            <w:tcW w:w="1530" w:type="dxa"/>
          </w:tcPr>
          <w:p w14:paraId="63CE023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87.8</w:t>
            </w:r>
          </w:p>
        </w:tc>
      </w:tr>
      <w:tr w:rsidR="00CA7F35" w:rsidRPr="00CA7F35" w14:paraId="582A1A2E" w14:textId="77777777" w:rsidTr="00CA7F35">
        <w:tc>
          <w:tcPr>
            <w:tcW w:w="895" w:type="dxa"/>
            <w:vMerge/>
          </w:tcPr>
          <w:p w14:paraId="687B44E1" w14:textId="77777777" w:rsidR="00112F64" w:rsidRPr="00CA7F35" w:rsidRDefault="00112F64" w:rsidP="002B358B">
            <w:pPr>
              <w:autoSpaceDE w:val="0"/>
              <w:autoSpaceDN w:val="0"/>
              <w:adjustRightInd w:val="0"/>
              <w:spacing w:line="360" w:lineRule="auto"/>
              <w:jc w:val="both"/>
              <w:rPr>
                <w:rFonts w:eastAsia="Calibri"/>
              </w:rPr>
            </w:pPr>
          </w:p>
        </w:tc>
        <w:tc>
          <w:tcPr>
            <w:tcW w:w="1763" w:type="dxa"/>
          </w:tcPr>
          <w:p w14:paraId="5C0E5310"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Not effective</w:t>
            </w:r>
          </w:p>
        </w:tc>
        <w:tc>
          <w:tcPr>
            <w:tcW w:w="1387" w:type="dxa"/>
          </w:tcPr>
          <w:p w14:paraId="2C95792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w:t>
            </w:r>
          </w:p>
        </w:tc>
        <w:tc>
          <w:tcPr>
            <w:tcW w:w="1080" w:type="dxa"/>
          </w:tcPr>
          <w:p w14:paraId="7D55E66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3.3</w:t>
            </w:r>
          </w:p>
        </w:tc>
        <w:tc>
          <w:tcPr>
            <w:tcW w:w="1350" w:type="dxa"/>
          </w:tcPr>
          <w:p w14:paraId="63749BF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3.3</w:t>
            </w:r>
          </w:p>
        </w:tc>
        <w:tc>
          <w:tcPr>
            <w:tcW w:w="1530" w:type="dxa"/>
          </w:tcPr>
          <w:p w14:paraId="0B9116F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91.1</w:t>
            </w:r>
          </w:p>
        </w:tc>
      </w:tr>
      <w:tr w:rsidR="00CA7F35" w:rsidRPr="00CA7F35" w14:paraId="352EB3B9" w14:textId="77777777" w:rsidTr="00CA7F35">
        <w:tc>
          <w:tcPr>
            <w:tcW w:w="895" w:type="dxa"/>
            <w:vMerge/>
          </w:tcPr>
          <w:p w14:paraId="623B2F80" w14:textId="77777777" w:rsidR="00112F64" w:rsidRPr="00CA7F35" w:rsidRDefault="00112F64" w:rsidP="002B358B">
            <w:pPr>
              <w:autoSpaceDE w:val="0"/>
              <w:autoSpaceDN w:val="0"/>
              <w:adjustRightInd w:val="0"/>
              <w:spacing w:line="360" w:lineRule="auto"/>
              <w:jc w:val="both"/>
              <w:rPr>
                <w:rFonts w:eastAsia="Calibri"/>
              </w:rPr>
            </w:pPr>
          </w:p>
        </w:tc>
        <w:tc>
          <w:tcPr>
            <w:tcW w:w="1763" w:type="dxa"/>
          </w:tcPr>
          <w:p w14:paraId="139A24B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Don’t know</w:t>
            </w:r>
          </w:p>
        </w:tc>
        <w:tc>
          <w:tcPr>
            <w:tcW w:w="1387" w:type="dxa"/>
          </w:tcPr>
          <w:p w14:paraId="1B7EFA1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w:t>
            </w:r>
          </w:p>
        </w:tc>
        <w:tc>
          <w:tcPr>
            <w:tcW w:w="1080" w:type="dxa"/>
          </w:tcPr>
          <w:p w14:paraId="714DF38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8.9</w:t>
            </w:r>
          </w:p>
        </w:tc>
        <w:tc>
          <w:tcPr>
            <w:tcW w:w="1350" w:type="dxa"/>
          </w:tcPr>
          <w:p w14:paraId="5683E5A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8.9</w:t>
            </w:r>
          </w:p>
        </w:tc>
        <w:tc>
          <w:tcPr>
            <w:tcW w:w="1530" w:type="dxa"/>
          </w:tcPr>
          <w:p w14:paraId="1D0DCAE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4105E1A1" w14:textId="77777777" w:rsidTr="00CA7F35">
        <w:tc>
          <w:tcPr>
            <w:tcW w:w="895" w:type="dxa"/>
            <w:vMerge/>
          </w:tcPr>
          <w:p w14:paraId="5BB1A0F0" w14:textId="77777777" w:rsidR="00112F64" w:rsidRPr="00CA7F35" w:rsidRDefault="00112F64" w:rsidP="002B358B">
            <w:pPr>
              <w:autoSpaceDE w:val="0"/>
              <w:autoSpaceDN w:val="0"/>
              <w:adjustRightInd w:val="0"/>
              <w:spacing w:line="360" w:lineRule="auto"/>
              <w:jc w:val="both"/>
              <w:rPr>
                <w:rFonts w:eastAsia="Calibri"/>
              </w:rPr>
            </w:pPr>
          </w:p>
        </w:tc>
        <w:tc>
          <w:tcPr>
            <w:tcW w:w="1763" w:type="dxa"/>
          </w:tcPr>
          <w:p w14:paraId="4878042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387" w:type="dxa"/>
          </w:tcPr>
          <w:p w14:paraId="3F436A3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184F707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50" w:type="dxa"/>
          </w:tcPr>
          <w:p w14:paraId="3A9B4C7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530" w:type="dxa"/>
          </w:tcPr>
          <w:p w14:paraId="72D06D81" w14:textId="77777777" w:rsidR="00112F64" w:rsidRPr="00CA7F35" w:rsidRDefault="00112F64" w:rsidP="002B358B">
            <w:pPr>
              <w:autoSpaceDE w:val="0"/>
              <w:autoSpaceDN w:val="0"/>
              <w:adjustRightInd w:val="0"/>
              <w:spacing w:line="360" w:lineRule="auto"/>
              <w:jc w:val="both"/>
              <w:rPr>
                <w:rFonts w:eastAsia="Calibri"/>
              </w:rPr>
            </w:pPr>
          </w:p>
        </w:tc>
      </w:tr>
    </w:tbl>
    <w:p w14:paraId="19ADA965" w14:textId="77777777" w:rsidR="00112F64" w:rsidRPr="00112F64" w:rsidRDefault="00112F64" w:rsidP="002B358B">
      <w:pPr>
        <w:spacing w:line="360" w:lineRule="auto"/>
        <w:jc w:val="both"/>
        <w:rPr>
          <w:rFonts w:eastAsia="Calibri"/>
        </w:rPr>
      </w:pPr>
    </w:p>
    <w:p w14:paraId="36483B3E" w14:textId="0DBC8C0C" w:rsidR="00112F64" w:rsidRPr="00240CC8" w:rsidRDefault="00112F64" w:rsidP="002B358B">
      <w:pPr>
        <w:pStyle w:val="Heading3"/>
        <w:jc w:val="both"/>
        <w:rPr>
          <w:rFonts w:eastAsia="Calibri"/>
          <w:lang w:val="en-ZW"/>
        </w:rPr>
      </w:pPr>
      <w:bookmarkStart w:id="105" w:name="_Toc215652929"/>
      <w:r w:rsidRPr="00240CC8">
        <w:rPr>
          <w:rFonts w:eastAsia="Calibri"/>
        </w:rPr>
        <w:t>4.</w:t>
      </w:r>
      <w:r w:rsidR="00B560D5">
        <w:rPr>
          <w:rFonts w:eastAsia="Calibri"/>
        </w:rPr>
        <w:t>4</w:t>
      </w:r>
      <w:r w:rsidRPr="00240CC8">
        <w:rPr>
          <w:rFonts w:eastAsia="Calibri"/>
        </w:rPr>
        <w:t xml:space="preserve">.4 </w:t>
      </w:r>
      <w:r w:rsidRPr="00240CC8">
        <w:rPr>
          <w:rFonts w:eastAsia="Calibri"/>
          <w:lang w:val="en-ZW"/>
        </w:rPr>
        <w:t>Impact of fire hazards</w:t>
      </w:r>
      <w:bookmarkEnd w:id="105"/>
    </w:p>
    <w:p w14:paraId="0C15922B"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7555" w:type="dxa"/>
        <w:tblLayout w:type="fixed"/>
        <w:tblLook w:val="0000" w:firstRow="0" w:lastRow="0" w:firstColumn="0" w:lastColumn="0" w:noHBand="0" w:noVBand="0"/>
      </w:tblPr>
      <w:tblGrid>
        <w:gridCol w:w="985"/>
        <w:gridCol w:w="1289"/>
        <w:gridCol w:w="1411"/>
        <w:gridCol w:w="1080"/>
        <w:gridCol w:w="1350"/>
        <w:gridCol w:w="1440"/>
      </w:tblGrid>
      <w:tr w:rsidR="00CA7F35" w:rsidRPr="00CA7F35" w14:paraId="1F8D4BA5" w14:textId="77777777" w:rsidTr="00CA7F35">
        <w:tc>
          <w:tcPr>
            <w:tcW w:w="7555" w:type="dxa"/>
            <w:gridSpan w:val="6"/>
          </w:tcPr>
          <w:p w14:paraId="2507900E" w14:textId="77777777" w:rsidR="00112F64" w:rsidRPr="00CA7F35" w:rsidRDefault="00541383" w:rsidP="002B358B">
            <w:pPr>
              <w:autoSpaceDE w:val="0"/>
              <w:autoSpaceDN w:val="0"/>
              <w:adjustRightInd w:val="0"/>
              <w:spacing w:line="360" w:lineRule="auto"/>
              <w:ind w:right="60"/>
              <w:jc w:val="both"/>
              <w:rPr>
                <w:rFonts w:eastAsia="Calibri"/>
                <w:b/>
                <w:bCs/>
              </w:rPr>
            </w:pPr>
            <w:r w:rsidRPr="00CA7F35">
              <w:rPr>
                <w:rFonts w:eastAsia="Calibri"/>
                <w:b/>
                <w:bCs/>
              </w:rPr>
              <w:t>Table 4.25 levels of impact</w:t>
            </w:r>
          </w:p>
          <w:p w14:paraId="32952A87" w14:textId="7C4603AA" w:rsidR="00240CC8" w:rsidRPr="00CA7F35" w:rsidRDefault="00240CC8" w:rsidP="002B358B">
            <w:pPr>
              <w:spacing w:line="360" w:lineRule="auto"/>
              <w:jc w:val="both"/>
              <w:rPr>
                <w:rFonts w:eastAsia="Calibri"/>
              </w:rPr>
            </w:pPr>
          </w:p>
        </w:tc>
      </w:tr>
      <w:tr w:rsidR="00CA7F35" w:rsidRPr="00CA7F35" w14:paraId="34798D26" w14:textId="77777777" w:rsidTr="00CA7F35">
        <w:tc>
          <w:tcPr>
            <w:tcW w:w="2274" w:type="dxa"/>
            <w:gridSpan w:val="2"/>
          </w:tcPr>
          <w:p w14:paraId="0A9BC12D" w14:textId="77777777" w:rsidR="00112F64" w:rsidRPr="00CA7F35" w:rsidRDefault="00112F64" w:rsidP="002B358B">
            <w:pPr>
              <w:autoSpaceDE w:val="0"/>
              <w:autoSpaceDN w:val="0"/>
              <w:adjustRightInd w:val="0"/>
              <w:spacing w:line="360" w:lineRule="auto"/>
              <w:jc w:val="both"/>
              <w:rPr>
                <w:rFonts w:eastAsia="Calibri"/>
              </w:rPr>
            </w:pPr>
          </w:p>
        </w:tc>
        <w:tc>
          <w:tcPr>
            <w:tcW w:w="1411" w:type="dxa"/>
          </w:tcPr>
          <w:p w14:paraId="144E92B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Frequency</w:t>
            </w:r>
          </w:p>
        </w:tc>
        <w:tc>
          <w:tcPr>
            <w:tcW w:w="1080" w:type="dxa"/>
          </w:tcPr>
          <w:p w14:paraId="255F7F9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Percent</w:t>
            </w:r>
          </w:p>
        </w:tc>
        <w:tc>
          <w:tcPr>
            <w:tcW w:w="1350" w:type="dxa"/>
          </w:tcPr>
          <w:p w14:paraId="5BAEF9D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 Percent</w:t>
            </w:r>
          </w:p>
        </w:tc>
        <w:tc>
          <w:tcPr>
            <w:tcW w:w="1440" w:type="dxa"/>
          </w:tcPr>
          <w:p w14:paraId="62B4284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Cumulative Percent</w:t>
            </w:r>
          </w:p>
        </w:tc>
      </w:tr>
      <w:tr w:rsidR="00CA7F35" w:rsidRPr="00CA7F35" w14:paraId="18397559" w14:textId="77777777" w:rsidTr="00CA7F35">
        <w:tc>
          <w:tcPr>
            <w:tcW w:w="985" w:type="dxa"/>
            <w:vMerge w:val="restart"/>
          </w:tcPr>
          <w:p w14:paraId="3628B97B"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Valid</w:t>
            </w:r>
          </w:p>
        </w:tc>
        <w:tc>
          <w:tcPr>
            <w:tcW w:w="1289" w:type="dxa"/>
          </w:tcPr>
          <w:p w14:paraId="536072E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 (Mild)</w:t>
            </w:r>
          </w:p>
        </w:tc>
        <w:tc>
          <w:tcPr>
            <w:tcW w:w="1411" w:type="dxa"/>
          </w:tcPr>
          <w:p w14:paraId="362421B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20</w:t>
            </w:r>
          </w:p>
        </w:tc>
        <w:tc>
          <w:tcPr>
            <w:tcW w:w="1080" w:type="dxa"/>
          </w:tcPr>
          <w:p w14:paraId="232E4C9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22.2</w:t>
            </w:r>
          </w:p>
        </w:tc>
        <w:tc>
          <w:tcPr>
            <w:tcW w:w="1350" w:type="dxa"/>
          </w:tcPr>
          <w:p w14:paraId="423DE26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22.2</w:t>
            </w:r>
          </w:p>
        </w:tc>
        <w:tc>
          <w:tcPr>
            <w:tcW w:w="1440" w:type="dxa"/>
          </w:tcPr>
          <w:p w14:paraId="5B243CB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22.2</w:t>
            </w:r>
          </w:p>
        </w:tc>
      </w:tr>
      <w:tr w:rsidR="00CA7F35" w:rsidRPr="00CA7F35" w14:paraId="555488F8" w14:textId="77777777" w:rsidTr="00CA7F35">
        <w:tc>
          <w:tcPr>
            <w:tcW w:w="985" w:type="dxa"/>
            <w:vMerge/>
          </w:tcPr>
          <w:p w14:paraId="6F579465" w14:textId="77777777" w:rsidR="00112F64" w:rsidRPr="00CA7F35" w:rsidRDefault="00112F64" w:rsidP="002B358B">
            <w:pPr>
              <w:autoSpaceDE w:val="0"/>
              <w:autoSpaceDN w:val="0"/>
              <w:adjustRightInd w:val="0"/>
              <w:spacing w:line="360" w:lineRule="auto"/>
              <w:jc w:val="both"/>
              <w:rPr>
                <w:rFonts w:eastAsia="Calibri"/>
              </w:rPr>
            </w:pPr>
          </w:p>
        </w:tc>
        <w:tc>
          <w:tcPr>
            <w:tcW w:w="1289" w:type="dxa"/>
          </w:tcPr>
          <w:p w14:paraId="0DE4E85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 (Moderate)</w:t>
            </w:r>
          </w:p>
        </w:tc>
        <w:tc>
          <w:tcPr>
            <w:tcW w:w="1411" w:type="dxa"/>
          </w:tcPr>
          <w:p w14:paraId="21B14E8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15</w:t>
            </w:r>
          </w:p>
        </w:tc>
        <w:tc>
          <w:tcPr>
            <w:tcW w:w="1080" w:type="dxa"/>
          </w:tcPr>
          <w:p w14:paraId="2A1F8357"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16.7</w:t>
            </w:r>
          </w:p>
        </w:tc>
        <w:tc>
          <w:tcPr>
            <w:tcW w:w="1350" w:type="dxa"/>
          </w:tcPr>
          <w:p w14:paraId="15FE6DB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16.7</w:t>
            </w:r>
          </w:p>
        </w:tc>
        <w:tc>
          <w:tcPr>
            <w:tcW w:w="1440" w:type="dxa"/>
          </w:tcPr>
          <w:p w14:paraId="5CC38F12"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38.9</w:t>
            </w:r>
          </w:p>
        </w:tc>
      </w:tr>
      <w:tr w:rsidR="00CA7F35" w:rsidRPr="00CA7F35" w14:paraId="2E840585" w14:textId="77777777" w:rsidTr="00CA7F35">
        <w:tc>
          <w:tcPr>
            <w:tcW w:w="985" w:type="dxa"/>
            <w:vMerge/>
          </w:tcPr>
          <w:p w14:paraId="27176D5C" w14:textId="77777777" w:rsidR="00112F64" w:rsidRPr="00CA7F35" w:rsidRDefault="00112F64" w:rsidP="002B358B">
            <w:pPr>
              <w:autoSpaceDE w:val="0"/>
              <w:autoSpaceDN w:val="0"/>
              <w:adjustRightInd w:val="0"/>
              <w:spacing w:line="360" w:lineRule="auto"/>
              <w:jc w:val="both"/>
              <w:rPr>
                <w:rFonts w:eastAsia="Calibri"/>
              </w:rPr>
            </w:pPr>
          </w:p>
        </w:tc>
        <w:tc>
          <w:tcPr>
            <w:tcW w:w="1289" w:type="dxa"/>
          </w:tcPr>
          <w:p w14:paraId="48CB1F0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4 (Severe)</w:t>
            </w:r>
          </w:p>
        </w:tc>
        <w:tc>
          <w:tcPr>
            <w:tcW w:w="1411" w:type="dxa"/>
          </w:tcPr>
          <w:p w14:paraId="33729A73"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22</w:t>
            </w:r>
          </w:p>
        </w:tc>
        <w:tc>
          <w:tcPr>
            <w:tcW w:w="1080" w:type="dxa"/>
          </w:tcPr>
          <w:p w14:paraId="4E9C031F"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350" w:type="dxa"/>
          </w:tcPr>
          <w:p w14:paraId="523091D4"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24.4</w:t>
            </w:r>
          </w:p>
        </w:tc>
        <w:tc>
          <w:tcPr>
            <w:tcW w:w="1440" w:type="dxa"/>
          </w:tcPr>
          <w:p w14:paraId="2C575C7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63.3</w:t>
            </w:r>
          </w:p>
        </w:tc>
      </w:tr>
      <w:tr w:rsidR="00CA7F35" w:rsidRPr="00CA7F35" w14:paraId="7DA76824" w14:textId="77777777" w:rsidTr="00CA7F35">
        <w:tc>
          <w:tcPr>
            <w:tcW w:w="985" w:type="dxa"/>
            <w:vMerge/>
          </w:tcPr>
          <w:p w14:paraId="19D49E8E" w14:textId="77777777" w:rsidR="00112F64" w:rsidRPr="00CA7F35" w:rsidRDefault="00112F64" w:rsidP="002B358B">
            <w:pPr>
              <w:autoSpaceDE w:val="0"/>
              <w:autoSpaceDN w:val="0"/>
              <w:adjustRightInd w:val="0"/>
              <w:spacing w:line="360" w:lineRule="auto"/>
              <w:jc w:val="both"/>
              <w:rPr>
                <w:rFonts w:eastAsia="Calibri"/>
              </w:rPr>
            </w:pPr>
          </w:p>
        </w:tc>
        <w:tc>
          <w:tcPr>
            <w:tcW w:w="1289" w:type="dxa"/>
          </w:tcPr>
          <w:p w14:paraId="0CD35BE5"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5 (Very severe)</w:t>
            </w:r>
          </w:p>
        </w:tc>
        <w:tc>
          <w:tcPr>
            <w:tcW w:w="1411" w:type="dxa"/>
          </w:tcPr>
          <w:p w14:paraId="23791D69"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33</w:t>
            </w:r>
          </w:p>
        </w:tc>
        <w:tc>
          <w:tcPr>
            <w:tcW w:w="1080" w:type="dxa"/>
          </w:tcPr>
          <w:p w14:paraId="786A07FA"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36.7</w:t>
            </w:r>
          </w:p>
        </w:tc>
        <w:tc>
          <w:tcPr>
            <w:tcW w:w="1350" w:type="dxa"/>
          </w:tcPr>
          <w:p w14:paraId="16C102E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36.7</w:t>
            </w:r>
          </w:p>
        </w:tc>
        <w:tc>
          <w:tcPr>
            <w:tcW w:w="1440" w:type="dxa"/>
          </w:tcPr>
          <w:p w14:paraId="0599F061"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r>
      <w:tr w:rsidR="00CA7F35" w:rsidRPr="00CA7F35" w14:paraId="21D39C73" w14:textId="77777777" w:rsidTr="00CA7F35">
        <w:tc>
          <w:tcPr>
            <w:tcW w:w="985" w:type="dxa"/>
            <w:vMerge/>
          </w:tcPr>
          <w:p w14:paraId="1A53220B" w14:textId="77777777" w:rsidR="00112F64" w:rsidRPr="00CA7F35" w:rsidRDefault="00112F64" w:rsidP="002B358B">
            <w:pPr>
              <w:autoSpaceDE w:val="0"/>
              <w:autoSpaceDN w:val="0"/>
              <w:adjustRightInd w:val="0"/>
              <w:spacing w:line="360" w:lineRule="auto"/>
              <w:jc w:val="both"/>
              <w:rPr>
                <w:rFonts w:eastAsia="Calibri"/>
              </w:rPr>
            </w:pPr>
          </w:p>
        </w:tc>
        <w:tc>
          <w:tcPr>
            <w:tcW w:w="1289" w:type="dxa"/>
          </w:tcPr>
          <w:p w14:paraId="024DC84E"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Total</w:t>
            </w:r>
          </w:p>
        </w:tc>
        <w:tc>
          <w:tcPr>
            <w:tcW w:w="1411" w:type="dxa"/>
          </w:tcPr>
          <w:p w14:paraId="7D0A16AC"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90</w:t>
            </w:r>
          </w:p>
        </w:tc>
        <w:tc>
          <w:tcPr>
            <w:tcW w:w="1080" w:type="dxa"/>
          </w:tcPr>
          <w:p w14:paraId="0714C97D"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350" w:type="dxa"/>
          </w:tcPr>
          <w:p w14:paraId="43827456" w14:textId="77777777" w:rsidR="00112F64" w:rsidRPr="00CA7F35" w:rsidRDefault="00112F64" w:rsidP="002B358B">
            <w:pPr>
              <w:autoSpaceDE w:val="0"/>
              <w:autoSpaceDN w:val="0"/>
              <w:adjustRightInd w:val="0"/>
              <w:spacing w:line="360" w:lineRule="auto"/>
              <w:ind w:right="60"/>
              <w:jc w:val="both"/>
              <w:rPr>
                <w:rFonts w:eastAsia="Calibri"/>
              </w:rPr>
            </w:pPr>
            <w:r w:rsidRPr="00CA7F35">
              <w:rPr>
                <w:rFonts w:eastAsia="Calibri"/>
              </w:rPr>
              <w:t>100.0</w:t>
            </w:r>
          </w:p>
        </w:tc>
        <w:tc>
          <w:tcPr>
            <w:tcW w:w="1440" w:type="dxa"/>
          </w:tcPr>
          <w:p w14:paraId="7EB5DC5B" w14:textId="77777777" w:rsidR="00112F64" w:rsidRPr="00CA7F35" w:rsidRDefault="00112F64" w:rsidP="002B358B">
            <w:pPr>
              <w:autoSpaceDE w:val="0"/>
              <w:autoSpaceDN w:val="0"/>
              <w:adjustRightInd w:val="0"/>
              <w:spacing w:line="360" w:lineRule="auto"/>
              <w:jc w:val="both"/>
              <w:rPr>
                <w:rFonts w:eastAsia="Calibri"/>
              </w:rPr>
            </w:pPr>
          </w:p>
        </w:tc>
      </w:tr>
    </w:tbl>
    <w:p w14:paraId="4E25B853" w14:textId="77777777" w:rsidR="00112F64" w:rsidRPr="00112F64" w:rsidRDefault="00112F64" w:rsidP="002B358B">
      <w:pPr>
        <w:autoSpaceDE w:val="0"/>
        <w:autoSpaceDN w:val="0"/>
        <w:adjustRightInd w:val="0"/>
        <w:spacing w:line="360" w:lineRule="auto"/>
        <w:jc w:val="both"/>
        <w:rPr>
          <w:rFonts w:eastAsia="Calibri"/>
        </w:rPr>
      </w:pPr>
    </w:p>
    <w:p w14:paraId="181D2C1C" w14:textId="5C53CC54" w:rsidR="00112F64" w:rsidRPr="00112F64" w:rsidRDefault="00112F64" w:rsidP="002B358B">
      <w:pPr>
        <w:autoSpaceDE w:val="0"/>
        <w:autoSpaceDN w:val="0"/>
        <w:adjustRightInd w:val="0"/>
        <w:spacing w:line="360" w:lineRule="auto"/>
        <w:jc w:val="both"/>
        <w:rPr>
          <w:rFonts w:eastAsia="Calibri"/>
        </w:rPr>
      </w:pPr>
      <w:r w:rsidRPr="00112F64">
        <w:rPr>
          <w:rFonts w:eastAsia="Calibri"/>
        </w:rPr>
        <w:t>The data above on tabl</w:t>
      </w:r>
      <w:r w:rsidR="00541383">
        <w:rPr>
          <w:rFonts w:eastAsia="Calibri"/>
        </w:rPr>
        <w:t>e 4.25</w:t>
      </w:r>
      <w:r w:rsidRPr="00112F64">
        <w:rPr>
          <w:rFonts w:eastAsia="Calibri"/>
        </w:rPr>
        <w:t xml:space="preserve"> show five levels of impact (Mild, Moderate, Severe, Very Severe, Total) with frequencies and percentages describing how many respondents experienced each level; for example, 20 respondents (22.2%) reported mild </w:t>
      </w:r>
      <w:r w:rsidR="004A3B5B" w:rsidRPr="00112F64">
        <w:rPr>
          <w:rFonts w:eastAsia="Calibri"/>
        </w:rPr>
        <w:t>impacts,</w:t>
      </w:r>
      <w:r w:rsidRPr="00112F64">
        <w:rPr>
          <w:rFonts w:eastAsia="Calibri"/>
        </w:rPr>
        <w:t xml:space="preserve"> and 33 respondents (36.7%) reported very severe impacts.  A cumulative 63.3% of respondents experienced severe or worse impacts (Severe or Very Severe), indicating that a substantial portion of households face serious consequences from urban fires.  The impacts are quite severe for many individuals, including potential injury, displacement, or loss of essentials, underscoring the need for effective fire prevention and targeted emergency preparedness interventions.</w:t>
      </w:r>
    </w:p>
    <w:p w14:paraId="3231ED7D"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270" w:type="dxa"/>
        <w:tblLayout w:type="fixed"/>
        <w:tblLook w:val="0000" w:firstRow="0" w:lastRow="0" w:firstColumn="0" w:lastColumn="0" w:noHBand="0" w:noVBand="0"/>
      </w:tblPr>
      <w:tblGrid>
        <w:gridCol w:w="895"/>
        <w:gridCol w:w="2302"/>
        <w:gridCol w:w="1298"/>
        <w:gridCol w:w="1080"/>
        <w:gridCol w:w="1219"/>
        <w:gridCol w:w="1476"/>
      </w:tblGrid>
      <w:tr w:rsidR="004A3B5B" w:rsidRPr="004A3B5B" w14:paraId="1956A3E0" w14:textId="77777777" w:rsidTr="004A3B5B">
        <w:tc>
          <w:tcPr>
            <w:tcW w:w="3197" w:type="dxa"/>
            <w:gridSpan w:val="2"/>
          </w:tcPr>
          <w:p w14:paraId="40709A8B" w14:textId="059E169C" w:rsidR="00112F64" w:rsidRPr="004A3B5B" w:rsidRDefault="00541383" w:rsidP="004A3B5B">
            <w:pPr>
              <w:autoSpaceDE w:val="0"/>
              <w:autoSpaceDN w:val="0"/>
              <w:adjustRightInd w:val="0"/>
              <w:spacing w:line="360" w:lineRule="auto"/>
              <w:jc w:val="both"/>
              <w:rPr>
                <w:rFonts w:eastAsia="Calibri"/>
                <w:b/>
                <w:bCs/>
              </w:rPr>
            </w:pPr>
            <w:r w:rsidRPr="004A3B5B">
              <w:rPr>
                <w:rFonts w:eastAsia="Calibri"/>
                <w:b/>
                <w:bCs/>
              </w:rPr>
              <w:t>Table 4.26 Loss as the most common outcome</w:t>
            </w:r>
          </w:p>
          <w:p w14:paraId="51356325" w14:textId="77777777" w:rsidR="004A3B5B" w:rsidRPr="004A3B5B" w:rsidRDefault="004A3B5B" w:rsidP="002B358B">
            <w:pPr>
              <w:autoSpaceDE w:val="0"/>
              <w:autoSpaceDN w:val="0"/>
              <w:adjustRightInd w:val="0"/>
              <w:spacing w:line="360" w:lineRule="auto"/>
              <w:jc w:val="both"/>
              <w:rPr>
                <w:rFonts w:eastAsia="Calibri"/>
              </w:rPr>
            </w:pPr>
          </w:p>
          <w:p w14:paraId="3AE5A0EF" w14:textId="77777777" w:rsidR="00112F64" w:rsidRPr="004A3B5B" w:rsidRDefault="00112F64" w:rsidP="002B358B">
            <w:pPr>
              <w:spacing w:line="259" w:lineRule="auto"/>
              <w:jc w:val="both"/>
              <w:rPr>
                <w:rFonts w:eastAsia="Calibri"/>
              </w:rPr>
            </w:pPr>
          </w:p>
        </w:tc>
        <w:tc>
          <w:tcPr>
            <w:tcW w:w="1298" w:type="dxa"/>
          </w:tcPr>
          <w:p w14:paraId="165BD3E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lastRenderedPageBreak/>
              <w:t>Frequency</w:t>
            </w:r>
          </w:p>
        </w:tc>
        <w:tc>
          <w:tcPr>
            <w:tcW w:w="1080" w:type="dxa"/>
          </w:tcPr>
          <w:p w14:paraId="5BDC3D8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219" w:type="dxa"/>
          </w:tcPr>
          <w:p w14:paraId="2B310EE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476" w:type="dxa"/>
          </w:tcPr>
          <w:p w14:paraId="44B2BC13" w14:textId="77777777" w:rsidR="004A3B5B" w:rsidRPr="004A3B5B" w:rsidRDefault="00112F64" w:rsidP="002B358B">
            <w:pPr>
              <w:autoSpaceDE w:val="0"/>
              <w:autoSpaceDN w:val="0"/>
              <w:adjustRightInd w:val="0"/>
              <w:spacing w:line="360" w:lineRule="auto"/>
              <w:ind w:right="60"/>
              <w:jc w:val="both"/>
              <w:rPr>
                <w:rFonts w:eastAsia="Calibri"/>
              </w:rPr>
            </w:pPr>
            <w:r w:rsidRPr="004A3B5B">
              <w:rPr>
                <w:rFonts w:eastAsia="Calibri"/>
              </w:rPr>
              <w:t xml:space="preserve">Cumulative </w:t>
            </w:r>
          </w:p>
          <w:p w14:paraId="6EDD6002" w14:textId="77777777" w:rsidR="004A3B5B" w:rsidRPr="004A3B5B" w:rsidRDefault="004A3B5B" w:rsidP="002B358B">
            <w:pPr>
              <w:autoSpaceDE w:val="0"/>
              <w:autoSpaceDN w:val="0"/>
              <w:adjustRightInd w:val="0"/>
              <w:spacing w:line="360" w:lineRule="auto"/>
              <w:ind w:right="60"/>
              <w:jc w:val="both"/>
              <w:rPr>
                <w:rFonts w:eastAsia="Calibri"/>
              </w:rPr>
            </w:pPr>
          </w:p>
          <w:p w14:paraId="141589DD" w14:textId="17E60869"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r>
      <w:tr w:rsidR="004A3B5B" w:rsidRPr="004A3B5B" w14:paraId="12C7EDF3" w14:textId="77777777" w:rsidTr="004A3B5B">
        <w:tc>
          <w:tcPr>
            <w:tcW w:w="895" w:type="dxa"/>
            <w:vMerge w:val="restart"/>
          </w:tcPr>
          <w:p w14:paraId="2BD991E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302" w:type="dxa"/>
          </w:tcPr>
          <w:p w14:paraId="54BE45D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0</w:t>
            </w:r>
          </w:p>
        </w:tc>
        <w:tc>
          <w:tcPr>
            <w:tcW w:w="1298" w:type="dxa"/>
          </w:tcPr>
          <w:p w14:paraId="228A58E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32</w:t>
            </w:r>
          </w:p>
        </w:tc>
        <w:tc>
          <w:tcPr>
            <w:tcW w:w="1080" w:type="dxa"/>
          </w:tcPr>
          <w:p w14:paraId="3081127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c>
          <w:tcPr>
            <w:tcW w:w="1219" w:type="dxa"/>
          </w:tcPr>
          <w:p w14:paraId="62AE782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c>
          <w:tcPr>
            <w:tcW w:w="1476" w:type="dxa"/>
          </w:tcPr>
          <w:p w14:paraId="5A448C5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r>
      <w:tr w:rsidR="004A3B5B" w:rsidRPr="004A3B5B" w14:paraId="03476AC4" w14:textId="77777777" w:rsidTr="004A3B5B">
        <w:tc>
          <w:tcPr>
            <w:tcW w:w="895" w:type="dxa"/>
            <w:vMerge/>
          </w:tcPr>
          <w:p w14:paraId="1B0033AF"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71CB811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0-5%: Negligible</w:t>
            </w:r>
          </w:p>
        </w:tc>
        <w:tc>
          <w:tcPr>
            <w:tcW w:w="1298" w:type="dxa"/>
          </w:tcPr>
          <w:p w14:paraId="272411E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w:t>
            </w:r>
          </w:p>
        </w:tc>
        <w:tc>
          <w:tcPr>
            <w:tcW w:w="1080" w:type="dxa"/>
          </w:tcPr>
          <w:p w14:paraId="2DCF3D0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11.1</w:t>
            </w:r>
          </w:p>
        </w:tc>
        <w:tc>
          <w:tcPr>
            <w:tcW w:w="1219" w:type="dxa"/>
          </w:tcPr>
          <w:p w14:paraId="02662B2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11.1</w:t>
            </w:r>
          </w:p>
        </w:tc>
        <w:tc>
          <w:tcPr>
            <w:tcW w:w="1476" w:type="dxa"/>
          </w:tcPr>
          <w:p w14:paraId="2491AA8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46.7</w:t>
            </w:r>
          </w:p>
        </w:tc>
      </w:tr>
      <w:tr w:rsidR="004A3B5B" w:rsidRPr="004A3B5B" w14:paraId="608D899B" w14:textId="77777777" w:rsidTr="004A3B5B">
        <w:tc>
          <w:tcPr>
            <w:tcW w:w="895" w:type="dxa"/>
            <w:vMerge/>
          </w:tcPr>
          <w:p w14:paraId="65D79F64"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1C0AB66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5-15% Minor</w:t>
            </w:r>
          </w:p>
        </w:tc>
        <w:tc>
          <w:tcPr>
            <w:tcW w:w="1298" w:type="dxa"/>
          </w:tcPr>
          <w:p w14:paraId="6203FCD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w:t>
            </w:r>
          </w:p>
        </w:tc>
        <w:tc>
          <w:tcPr>
            <w:tcW w:w="1080" w:type="dxa"/>
          </w:tcPr>
          <w:p w14:paraId="4E08584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219" w:type="dxa"/>
          </w:tcPr>
          <w:p w14:paraId="312FFCF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476" w:type="dxa"/>
          </w:tcPr>
          <w:p w14:paraId="1907EFF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55.6</w:t>
            </w:r>
          </w:p>
        </w:tc>
      </w:tr>
      <w:tr w:rsidR="004A3B5B" w:rsidRPr="004A3B5B" w14:paraId="3235775F" w14:textId="77777777" w:rsidTr="004A3B5B">
        <w:tc>
          <w:tcPr>
            <w:tcW w:w="895" w:type="dxa"/>
            <w:vMerge/>
          </w:tcPr>
          <w:p w14:paraId="30E4E5F6"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5856E25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15-30% Moderate</w:t>
            </w:r>
          </w:p>
        </w:tc>
        <w:tc>
          <w:tcPr>
            <w:tcW w:w="1298" w:type="dxa"/>
          </w:tcPr>
          <w:p w14:paraId="1836D50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16</w:t>
            </w:r>
          </w:p>
        </w:tc>
        <w:tc>
          <w:tcPr>
            <w:tcW w:w="1080" w:type="dxa"/>
          </w:tcPr>
          <w:p w14:paraId="0A96BC0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17.8</w:t>
            </w:r>
          </w:p>
        </w:tc>
        <w:tc>
          <w:tcPr>
            <w:tcW w:w="1219" w:type="dxa"/>
          </w:tcPr>
          <w:p w14:paraId="53B7BCD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17.8</w:t>
            </w:r>
          </w:p>
        </w:tc>
        <w:tc>
          <w:tcPr>
            <w:tcW w:w="1476" w:type="dxa"/>
          </w:tcPr>
          <w:p w14:paraId="4AD3962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73.3</w:t>
            </w:r>
          </w:p>
        </w:tc>
      </w:tr>
      <w:tr w:rsidR="004A3B5B" w:rsidRPr="004A3B5B" w14:paraId="6C91C87A" w14:textId="77777777" w:rsidTr="004A3B5B">
        <w:tc>
          <w:tcPr>
            <w:tcW w:w="895" w:type="dxa"/>
            <w:vMerge/>
          </w:tcPr>
          <w:p w14:paraId="48313960"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2372E4C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30-60: Severe</w:t>
            </w:r>
          </w:p>
        </w:tc>
        <w:tc>
          <w:tcPr>
            <w:tcW w:w="1298" w:type="dxa"/>
          </w:tcPr>
          <w:p w14:paraId="09BE818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w:t>
            </w:r>
          </w:p>
        </w:tc>
        <w:tc>
          <w:tcPr>
            <w:tcW w:w="1080" w:type="dxa"/>
          </w:tcPr>
          <w:p w14:paraId="6C7BE17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219" w:type="dxa"/>
          </w:tcPr>
          <w:p w14:paraId="6785B91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476" w:type="dxa"/>
          </w:tcPr>
          <w:p w14:paraId="101ABB5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82.2</w:t>
            </w:r>
          </w:p>
        </w:tc>
      </w:tr>
      <w:tr w:rsidR="004A3B5B" w:rsidRPr="004A3B5B" w14:paraId="745F74C7" w14:textId="77777777" w:rsidTr="004A3B5B">
        <w:tc>
          <w:tcPr>
            <w:tcW w:w="895" w:type="dxa"/>
            <w:vMerge/>
          </w:tcPr>
          <w:p w14:paraId="2FC4E24A"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2F29EF0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&gt;60%: Critical/Catastrophic</w:t>
            </w:r>
          </w:p>
        </w:tc>
        <w:tc>
          <w:tcPr>
            <w:tcW w:w="1298" w:type="dxa"/>
          </w:tcPr>
          <w:p w14:paraId="76C29CB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16</w:t>
            </w:r>
          </w:p>
        </w:tc>
        <w:tc>
          <w:tcPr>
            <w:tcW w:w="1080" w:type="dxa"/>
          </w:tcPr>
          <w:p w14:paraId="2303819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17.8</w:t>
            </w:r>
          </w:p>
        </w:tc>
        <w:tc>
          <w:tcPr>
            <w:tcW w:w="1219" w:type="dxa"/>
          </w:tcPr>
          <w:p w14:paraId="588F0E4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17.8</w:t>
            </w:r>
          </w:p>
        </w:tc>
        <w:tc>
          <w:tcPr>
            <w:tcW w:w="1476" w:type="dxa"/>
          </w:tcPr>
          <w:p w14:paraId="0323181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09F193E0" w14:textId="77777777" w:rsidTr="004A3B5B">
        <w:tc>
          <w:tcPr>
            <w:tcW w:w="895" w:type="dxa"/>
            <w:vMerge/>
          </w:tcPr>
          <w:p w14:paraId="0D0FFB5F"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392B267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298" w:type="dxa"/>
          </w:tcPr>
          <w:p w14:paraId="477014A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31D5079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219" w:type="dxa"/>
          </w:tcPr>
          <w:p w14:paraId="5490D2D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476" w:type="dxa"/>
          </w:tcPr>
          <w:p w14:paraId="52F48726" w14:textId="77777777" w:rsidR="00112F64" w:rsidRPr="004A3B5B" w:rsidRDefault="00112F64" w:rsidP="002B358B">
            <w:pPr>
              <w:autoSpaceDE w:val="0"/>
              <w:autoSpaceDN w:val="0"/>
              <w:adjustRightInd w:val="0"/>
              <w:spacing w:line="360" w:lineRule="auto"/>
              <w:jc w:val="both"/>
              <w:rPr>
                <w:rFonts w:eastAsia="Calibri"/>
              </w:rPr>
            </w:pPr>
          </w:p>
        </w:tc>
      </w:tr>
    </w:tbl>
    <w:p w14:paraId="13C2AE67" w14:textId="77777777" w:rsidR="00112F64" w:rsidRPr="00112F64" w:rsidRDefault="00112F64" w:rsidP="002B358B">
      <w:pPr>
        <w:autoSpaceDE w:val="0"/>
        <w:autoSpaceDN w:val="0"/>
        <w:adjustRightInd w:val="0"/>
        <w:spacing w:line="360" w:lineRule="auto"/>
        <w:jc w:val="both"/>
        <w:rPr>
          <w:rFonts w:eastAsia="Calibri"/>
        </w:rPr>
      </w:pPr>
    </w:p>
    <w:p w14:paraId="2EA95779" w14:textId="7D710172" w:rsidR="00112F64" w:rsidRPr="00112F64" w:rsidRDefault="00112F64" w:rsidP="002B358B">
      <w:pPr>
        <w:autoSpaceDE w:val="0"/>
        <w:autoSpaceDN w:val="0"/>
        <w:adjustRightInd w:val="0"/>
        <w:spacing w:line="360" w:lineRule="auto"/>
        <w:jc w:val="both"/>
        <w:rPr>
          <w:rFonts w:eastAsia="Calibri"/>
        </w:rPr>
      </w:pPr>
      <w:r w:rsidRPr="00112F64">
        <w:rPr>
          <w:rFonts w:eastAsia="Calibri"/>
        </w:rPr>
        <w:t>The Harare fire loss data on T</w:t>
      </w:r>
      <w:r w:rsidR="00541383">
        <w:rPr>
          <w:rFonts w:eastAsia="Calibri"/>
        </w:rPr>
        <w:t>able 4.26</w:t>
      </w:r>
      <w:r w:rsidRPr="00112F64">
        <w:rPr>
          <w:rFonts w:eastAsia="Calibri"/>
        </w:rPr>
        <w:t xml:space="preserve"> above show 0% loss as the most common outcome (35.6%), with other loss categories distributed as negligible (11.1%), minor (8.9%), moderate (17.8%), severe (8.9%), and critical/catastrophic (&gt;60%) (17.8%).  With 90 respondents, about 58 individuals experienced some property loss (sum of non-zero categories = 64.6%).  In percentage terms, 64.4% of respondents experienced some loss (i.e., 100% − 35.6%), while 35.6% experienced no loss.</w:t>
      </w:r>
    </w:p>
    <w:p w14:paraId="318D7D52" w14:textId="77777777" w:rsidR="00112F64" w:rsidRPr="004A3B5B" w:rsidRDefault="00112F64" w:rsidP="002B358B">
      <w:pPr>
        <w:autoSpaceDE w:val="0"/>
        <w:autoSpaceDN w:val="0"/>
        <w:adjustRightInd w:val="0"/>
        <w:spacing w:line="360" w:lineRule="auto"/>
        <w:jc w:val="both"/>
        <w:rPr>
          <w:rFonts w:eastAsia="Calibri"/>
          <w:b/>
          <w:bCs/>
        </w:rPr>
      </w:pPr>
    </w:p>
    <w:p w14:paraId="07526C1E" w14:textId="09B18AFF" w:rsidR="00240CC8" w:rsidRPr="004A3B5B" w:rsidRDefault="00C32311" w:rsidP="002B358B">
      <w:pPr>
        <w:autoSpaceDE w:val="0"/>
        <w:autoSpaceDN w:val="0"/>
        <w:adjustRightInd w:val="0"/>
        <w:spacing w:line="360" w:lineRule="auto"/>
        <w:ind w:right="60"/>
        <w:jc w:val="both"/>
        <w:rPr>
          <w:rFonts w:eastAsia="Calibri"/>
          <w:b/>
          <w:bCs/>
          <w:color w:val="000000" w:themeColor="text1"/>
        </w:rPr>
      </w:pPr>
      <w:r w:rsidRPr="004A3B5B">
        <w:rPr>
          <w:rFonts w:eastAsia="Calibri"/>
          <w:b/>
          <w:bCs/>
        </w:rPr>
        <w:t>Table 4.27</w:t>
      </w:r>
      <w:r w:rsidRPr="004A3B5B">
        <w:rPr>
          <w:rFonts w:eastAsia="Calibri"/>
          <w:b/>
          <w:bCs/>
          <w:color w:val="010205"/>
          <w:sz w:val="22"/>
          <w:szCs w:val="22"/>
        </w:rPr>
        <w:t xml:space="preserve"> Environmental impact caused by fire</w:t>
      </w:r>
      <w:r w:rsidR="00240CC8" w:rsidRPr="004A3B5B">
        <w:rPr>
          <w:rFonts w:eastAsia="Calibri"/>
          <w:b/>
          <w:bCs/>
        </w:rPr>
        <w:t xml:space="preserve"> </w:t>
      </w:r>
    </w:p>
    <w:p w14:paraId="1C0D8DC1" w14:textId="1C6275E6" w:rsidR="00112F64" w:rsidRPr="00112F64" w:rsidRDefault="00112F64" w:rsidP="002B358B">
      <w:pPr>
        <w:autoSpaceDE w:val="0"/>
        <w:autoSpaceDN w:val="0"/>
        <w:adjustRightInd w:val="0"/>
        <w:spacing w:line="360" w:lineRule="auto"/>
        <w:jc w:val="both"/>
        <w:rPr>
          <w:rFonts w:eastAsia="Calibri"/>
        </w:rPr>
      </w:pPr>
    </w:p>
    <w:tbl>
      <w:tblPr>
        <w:tblStyle w:val="TableGrid"/>
        <w:tblW w:w="8270" w:type="dxa"/>
        <w:tblLayout w:type="fixed"/>
        <w:tblLook w:val="0000" w:firstRow="0" w:lastRow="0" w:firstColumn="0" w:lastColumn="0" w:noHBand="0" w:noVBand="0"/>
      </w:tblPr>
      <w:tblGrid>
        <w:gridCol w:w="895"/>
        <w:gridCol w:w="2302"/>
        <w:gridCol w:w="1169"/>
        <w:gridCol w:w="1029"/>
        <w:gridCol w:w="1399"/>
        <w:gridCol w:w="1476"/>
      </w:tblGrid>
      <w:tr w:rsidR="004A3B5B" w:rsidRPr="004A3B5B" w14:paraId="648A08A4" w14:textId="77777777" w:rsidTr="004A3B5B">
        <w:tc>
          <w:tcPr>
            <w:tcW w:w="8270" w:type="dxa"/>
            <w:gridSpan w:val="6"/>
          </w:tcPr>
          <w:p w14:paraId="4F03EC38" w14:textId="01E5FCF5" w:rsidR="00112F64" w:rsidRPr="004A3B5B" w:rsidRDefault="00112F64" w:rsidP="002B358B">
            <w:pPr>
              <w:autoSpaceDE w:val="0"/>
              <w:autoSpaceDN w:val="0"/>
              <w:adjustRightInd w:val="0"/>
              <w:spacing w:line="360" w:lineRule="auto"/>
              <w:ind w:right="60"/>
              <w:jc w:val="both"/>
              <w:rPr>
                <w:rFonts w:eastAsia="Calibri"/>
              </w:rPr>
            </w:pPr>
          </w:p>
        </w:tc>
      </w:tr>
      <w:tr w:rsidR="004A3B5B" w:rsidRPr="004A3B5B" w14:paraId="51A284B8" w14:textId="77777777" w:rsidTr="004A3B5B">
        <w:tc>
          <w:tcPr>
            <w:tcW w:w="3197" w:type="dxa"/>
            <w:gridSpan w:val="2"/>
          </w:tcPr>
          <w:p w14:paraId="1E7A75CA" w14:textId="77777777" w:rsidR="00112F64" w:rsidRPr="004A3B5B" w:rsidRDefault="00112F64" w:rsidP="002B358B">
            <w:pPr>
              <w:autoSpaceDE w:val="0"/>
              <w:autoSpaceDN w:val="0"/>
              <w:adjustRightInd w:val="0"/>
              <w:spacing w:line="360" w:lineRule="auto"/>
              <w:jc w:val="both"/>
              <w:rPr>
                <w:rFonts w:eastAsia="Calibri"/>
              </w:rPr>
            </w:pPr>
          </w:p>
        </w:tc>
        <w:tc>
          <w:tcPr>
            <w:tcW w:w="1169" w:type="dxa"/>
          </w:tcPr>
          <w:p w14:paraId="5B0583A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29" w:type="dxa"/>
          </w:tcPr>
          <w:p w14:paraId="7D994DA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399" w:type="dxa"/>
          </w:tcPr>
          <w:p w14:paraId="7D44D64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476" w:type="dxa"/>
          </w:tcPr>
          <w:p w14:paraId="54DD877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6B1C0DA1" w14:textId="77777777" w:rsidTr="004A3B5B">
        <w:tc>
          <w:tcPr>
            <w:tcW w:w="895" w:type="dxa"/>
            <w:vMerge w:val="restart"/>
          </w:tcPr>
          <w:p w14:paraId="62CA724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302" w:type="dxa"/>
          </w:tcPr>
          <w:p w14:paraId="0B8F6CD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Smoke and air irritation</w:t>
            </w:r>
          </w:p>
        </w:tc>
        <w:tc>
          <w:tcPr>
            <w:tcW w:w="1169" w:type="dxa"/>
          </w:tcPr>
          <w:p w14:paraId="184FDD9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50</w:t>
            </w:r>
          </w:p>
        </w:tc>
        <w:tc>
          <w:tcPr>
            <w:tcW w:w="1029" w:type="dxa"/>
          </w:tcPr>
          <w:p w14:paraId="4AF476A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55.6</w:t>
            </w:r>
          </w:p>
        </w:tc>
        <w:tc>
          <w:tcPr>
            <w:tcW w:w="1399" w:type="dxa"/>
          </w:tcPr>
          <w:p w14:paraId="1F795A4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55.6</w:t>
            </w:r>
          </w:p>
        </w:tc>
        <w:tc>
          <w:tcPr>
            <w:tcW w:w="1476" w:type="dxa"/>
          </w:tcPr>
          <w:p w14:paraId="0D89660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55.6</w:t>
            </w:r>
          </w:p>
        </w:tc>
      </w:tr>
      <w:tr w:rsidR="004A3B5B" w:rsidRPr="004A3B5B" w14:paraId="4546FDD8" w14:textId="77777777" w:rsidTr="004A3B5B">
        <w:tc>
          <w:tcPr>
            <w:tcW w:w="895" w:type="dxa"/>
            <w:vMerge/>
          </w:tcPr>
          <w:p w14:paraId="2E43D9B1"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7C032D0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Contaminated water supply</w:t>
            </w:r>
          </w:p>
        </w:tc>
        <w:tc>
          <w:tcPr>
            <w:tcW w:w="1169" w:type="dxa"/>
          </w:tcPr>
          <w:p w14:paraId="20E405B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w:t>
            </w:r>
          </w:p>
        </w:tc>
        <w:tc>
          <w:tcPr>
            <w:tcW w:w="1029" w:type="dxa"/>
          </w:tcPr>
          <w:p w14:paraId="66BC2E1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w:t>
            </w:r>
          </w:p>
        </w:tc>
        <w:tc>
          <w:tcPr>
            <w:tcW w:w="1399" w:type="dxa"/>
          </w:tcPr>
          <w:p w14:paraId="5C414F2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w:t>
            </w:r>
          </w:p>
        </w:tc>
        <w:tc>
          <w:tcPr>
            <w:tcW w:w="1476" w:type="dxa"/>
          </w:tcPr>
          <w:p w14:paraId="5086250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56.7</w:t>
            </w:r>
          </w:p>
        </w:tc>
      </w:tr>
      <w:tr w:rsidR="004A3B5B" w:rsidRPr="004A3B5B" w14:paraId="0D956357" w14:textId="77777777" w:rsidTr="004A3B5B">
        <w:tc>
          <w:tcPr>
            <w:tcW w:w="895" w:type="dxa"/>
            <w:vMerge/>
          </w:tcPr>
          <w:p w14:paraId="4F8516D1"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3FC9377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Soil and ash deposition</w:t>
            </w:r>
          </w:p>
        </w:tc>
        <w:tc>
          <w:tcPr>
            <w:tcW w:w="1169" w:type="dxa"/>
          </w:tcPr>
          <w:p w14:paraId="25621E3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w:t>
            </w:r>
          </w:p>
        </w:tc>
        <w:tc>
          <w:tcPr>
            <w:tcW w:w="1029" w:type="dxa"/>
          </w:tcPr>
          <w:p w14:paraId="402DBDC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5.6</w:t>
            </w:r>
          </w:p>
        </w:tc>
        <w:tc>
          <w:tcPr>
            <w:tcW w:w="1399" w:type="dxa"/>
          </w:tcPr>
          <w:p w14:paraId="35D5818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5.6</w:t>
            </w:r>
          </w:p>
        </w:tc>
        <w:tc>
          <w:tcPr>
            <w:tcW w:w="1476" w:type="dxa"/>
          </w:tcPr>
          <w:p w14:paraId="5AD7383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62.2</w:t>
            </w:r>
          </w:p>
        </w:tc>
      </w:tr>
      <w:tr w:rsidR="004A3B5B" w:rsidRPr="004A3B5B" w14:paraId="2BE6E19C" w14:textId="77777777" w:rsidTr="004A3B5B">
        <w:tc>
          <w:tcPr>
            <w:tcW w:w="895" w:type="dxa"/>
            <w:vMerge/>
          </w:tcPr>
          <w:p w14:paraId="3710B8A7"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1788B36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Loss of vegetation</w:t>
            </w:r>
          </w:p>
        </w:tc>
        <w:tc>
          <w:tcPr>
            <w:tcW w:w="1169" w:type="dxa"/>
          </w:tcPr>
          <w:p w14:paraId="7257ADB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31</w:t>
            </w:r>
          </w:p>
        </w:tc>
        <w:tc>
          <w:tcPr>
            <w:tcW w:w="1029" w:type="dxa"/>
          </w:tcPr>
          <w:p w14:paraId="28AF446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c>
          <w:tcPr>
            <w:tcW w:w="1399" w:type="dxa"/>
          </w:tcPr>
          <w:p w14:paraId="66DF186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c>
          <w:tcPr>
            <w:tcW w:w="1476" w:type="dxa"/>
          </w:tcPr>
          <w:p w14:paraId="17B8E99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96.7</w:t>
            </w:r>
          </w:p>
        </w:tc>
      </w:tr>
      <w:tr w:rsidR="004A3B5B" w:rsidRPr="004A3B5B" w14:paraId="2510DA00" w14:textId="77777777" w:rsidTr="004A3B5B">
        <w:tc>
          <w:tcPr>
            <w:tcW w:w="895" w:type="dxa"/>
            <w:vMerge/>
          </w:tcPr>
          <w:p w14:paraId="5369F2A4"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228E56A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Wildlife disturbance</w:t>
            </w:r>
          </w:p>
        </w:tc>
        <w:tc>
          <w:tcPr>
            <w:tcW w:w="1169" w:type="dxa"/>
          </w:tcPr>
          <w:p w14:paraId="499FB6D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w:t>
            </w:r>
          </w:p>
        </w:tc>
        <w:tc>
          <w:tcPr>
            <w:tcW w:w="1029" w:type="dxa"/>
          </w:tcPr>
          <w:p w14:paraId="0F360BF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1399" w:type="dxa"/>
          </w:tcPr>
          <w:p w14:paraId="277666A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1476" w:type="dxa"/>
          </w:tcPr>
          <w:p w14:paraId="044D505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7EC8C825" w14:textId="77777777" w:rsidTr="004A3B5B">
        <w:tc>
          <w:tcPr>
            <w:tcW w:w="895" w:type="dxa"/>
            <w:vMerge/>
          </w:tcPr>
          <w:p w14:paraId="12880027"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067A9CF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169" w:type="dxa"/>
          </w:tcPr>
          <w:p w14:paraId="28E40CB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29" w:type="dxa"/>
          </w:tcPr>
          <w:p w14:paraId="4FC98F2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399" w:type="dxa"/>
          </w:tcPr>
          <w:p w14:paraId="02863CA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476" w:type="dxa"/>
          </w:tcPr>
          <w:p w14:paraId="72D209A4" w14:textId="77777777" w:rsidR="00112F64" w:rsidRPr="004A3B5B" w:rsidRDefault="00112F64" w:rsidP="002B358B">
            <w:pPr>
              <w:autoSpaceDE w:val="0"/>
              <w:autoSpaceDN w:val="0"/>
              <w:adjustRightInd w:val="0"/>
              <w:spacing w:line="360" w:lineRule="auto"/>
              <w:jc w:val="both"/>
              <w:rPr>
                <w:rFonts w:eastAsia="Calibri"/>
              </w:rPr>
            </w:pPr>
          </w:p>
        </w:tc>
      </w:tr>
    </w:tbl>
    <w:p w14:paraId="77B3360A" w14:textId="77777777" w:rsidR="00112F64" w:rsidRPr="00112F64" w:rsidRDefault="00112F64" w:rsidP="002B358B">
      <w:pPr>
        <w:autoSpaceDE w:val="0"/>
        <w:autoSpaceDN w:val="0"/>
        <w:adjustRightInd w:val="0"/>
        <w:spacing w:line="360" w:lineRule="auto"/>
        <w:jc w:val="both"/>
        <w:rPr>
          <w:rFonts w:eastAsia="Calibri"/>
        </w:rPr>
      </w:pPr>
    </w:p>
    <w:p w14:paraId="312D0E8D" w14:textId="69758BCB" w:rsidR="00112F64" w:rsidRPr="00112F64" w:rsidRDefault="00C32311" w:rsidP="002B358B">
      <w:pPr>
        <w:autoSpaceDE w:val="0"/>
        <w:autoSpaceDN w:val="0"/>
        <w:adjustRightInd w:val="0"/>
        <w:spacing w:line="360" w:lineRule="auto"/>
        <w:jc w:val="both"/>
        <w:rPr>
          <w:rFonts w:eastAsia="Calibri"/>
        </w:rPr>
      </w:pPr>
      <w:r>
        <w:rPr>
          <w:rFonts w:eastAsia="Calibri"/>
        </w:rPr>
        <w:t>Table 4.27</w:t>
      </w:r>
      <w:r w:rsidR="00112F64" w:rsidRPr="00112F64">
        <w:rPr>
          <w:rFonts w:eastAsia="Calibri"/>
        </w:rPr>
        <w:t xml:space="preserve"> above shows that fires most commonly cause “Smoke and air irritation” (55.6%) and “Loss of vegetation” (34.4%), with secondary impacts including “Soil and ash deposition” (5.6%), “Wildlife disturbance” (3.3%), and “Contaminated water supply” (1.1%), based on valid responses totalling 90.  Overall, air quality and plant life are the primary environmental concerns from fires, with additional effects on soil, water, and wildlife.  These findings inform fire management and environmental protection by highlighting the need to limit smoke/air pollution and preserve ecosystems, while also addressing water quality and wildlife considerations.</w:t>
      </w:r>
    </w:p>
    <w:p w14:paraId="289406E0" w14:textId="77777777" w:rsidR="00112F64" w:rsidRPr="00112F64" w:rsidRDefault="00112F64" w:rsidP="002B358B">
      <w:pPr>
        <w:autoSpaceDE w:val="0"/>
        <w:autoSpaceDN w:val="0"/>
        <w:adjustRightInd w:val="0"/>
        <w:spacing w:line="360" w:lineRule="auto"/>
        <w:jc w:val="both"/>
        <w:rPr>
          <w:rFonts w:eastAsia="Calibri"/>
        </w:rPr>
      </w:pPr>
    </w:p>
    <w:p w14:paraId="51D87612" w14:textId="09E42D8F" w:rsidR="00112F64" w:rsidRPr="00240CC8" w:rsidRDefault="00112F64" w:rsidP="002B358B">
      <w:pPr>
        <w:pStyle w:val="Heading3"/>
        <w:jc w:val="both"/>
        <w:rPr>
          <w:rFonts w:eastAsia="Calibri"/>
          <w:lang w:val="en-ZW"/>
        </w:rPr>
      </w:pPr>
      <w:bookmarkStart w:id="106" w:name="_Toc215652930"/>
      <w:r w:rsidRPr="00240CC8">
        <w:rPr>
          <w:rFonts w:eastAsia="Calibri"/>
          <w:lang w:val="en-ZW"/>
        </w:rPr>
        <w:t>4.</w:t>
      </w:r>
      <w:r w:rsidR="00B560D5">
        <w:rPr>
          <w:rFonts w:eastAsia="Calibri"/>
          <w:lang w:val="en-ZW"/>
        </w:rPr>
        <w:t>4</w:t>
      </w:r>
      <w:r w:rsidRPr="00240CC8">
        <w:rPr>
          <w:rFonts w:eastAsia="Calibri"/>
          <w:lang w:val="en-ZW"/>
        </w:rPr>
        <w:t>.5 Response</w:t>
      </w:r>
      <w:bookmarkEnd w:id="106"/>
    </w:p>
    <w:tbl>
      <w:tblPr>
        <w:tblStyle w:val="TableGrid"/>
        <w:tblW w:w="8270" w:type="dxa"/>
        <w:tblLayout w:type="fixed"/>
        <w:tblLook w:val="0000" w:firstRow="0" w:lastRow="0" w:firstColumn="0" w:lastColumn="0" w:noHBand="0" w:noVBand="0"/>
      </w:tblPr>
      <w:tblGrid>
        <w:gridCol w:w="737"/>
        <w:gridCol w:w="2460"/>
        <w:gridCol w:w="1169"/>
        <w:gridCol w:w="1029"/>
        <w:gridCol w:w="1399"/>
        <w:gridCol w:w="1476"/>
      </w:tblGrid>
      <w:tr w:rsidR="004A3B5B" w:rsidRPr="004A3B5B" w14:paraId="78A14293" w14:textId="77777777" w:rsidTr="004A3B5B">
        <w:tc>
          <w:tcPr>
            <w:tcW w:w="8270" w:type="dxa"/>
            <w:gridSpan w:val="6"/>
          </w:tcPr>
          <w:p w14:paraId="66D92B16" w14:textId="0D164DAA" w:rsidR="00240CC8" w:rsidRPr="004A3B5B" w:rsidRDefault="00C32311" w:rsidP="002B358B">
            <w:pPr>
              <w:autoSpaceDE w:val="0"/>
              <w:autoSpaceDN w:val="0"/>
              <w:adjustRightInd w:val="0"/>
              <w:spacing w:line="360" w:lineRule="auto"/>
              <w:ind w:right="60"/>
              <w:jc w:val="both"/>
              <w:rPr>
                <w:rFonts w:eastAsia="Calibri"/>
                <w:b/>
                <w:bCs/>
              </w:rPr>
            </w:pPr>
            <w:r w:rsidRPr="004A3B5B">
              <w:rPr>
                <w:rFonts w:eastAsia="Calibri"/>
                <w:b/>
                <w:bCs/>
              </w:rPr>
              <w:t>Table 4.28</w:t>
            </w:r>
            <w:r w:rsidR="00240CC8" w:rsidRPr="004A3B5B">
              <w:rPr>
                <w:rFonts w:eastAsia="Calibri"/>
                <w:b/>
                <w:bCs/>
              </w:rPr>
              <w:t xml:space="preserve"> emergency services able to respond to fire incidents </w:t>
            </w:r>
          </w:p>
          <w:p w14:paraId="7836814E" w14:textId="7003DC48" w:rsidR="00112F64" w:rsidRPr="004A3B5B" w:rsidRDefault="00112F64" w:rsidP="002B358B">
            <w:pPr>
              <w:autoSpaceDE w:val="0"/>
              <w:autoSpaceDN w:val="0"/>
              <w:adjustRightInd w:val="0"/>
              <w:spacing w:line="360" w:lineRule="auto"/>
              <w:jc w:val="both"/>
              <w:rPr>
                <w:rFonts w:eastAsia="Calibri"/>
              </w:rPr>
            </w:pPr>
          </w:p>
          <w:p w14:paraId="5E0B7556" w14:textId="2B66AEF1" w:rsidR="00112F64" w:rsidRPr="004A3B5B" w:rsidRDefault="00112F64" w:rsidP="002B358B">
            <w:pPr>
              <w:autoSpaceDE w:val="0"/>
              <w:autoSpaceDN w:val="0"/>
              <w:adjustRightInd w:val="0"/>
              <w:spacing w:line="360" w:lineRule="auto"/>
              <w:ind w:right="60"/>
              <w:jc w:val="both"/>
              <w:rPr>
                <w:rFonts w:eastAsia="Calibri"/>
              </w:rPr>
            </w:pPr>
          </w:p>
        </w:tc>
      </w:tr>
      <w:tr w:rsidR="004A3B5B" w:rsidRPr="004A3B5B" w14:paraId="590AE04D" w14:textId="77777777" w:rsidTr="004A3B5B">
        <w:tc>
          <w:tcPr>
            <w:tcW w:w="3197" w:type="dxa"/>
            <w:gridSpan w:val="2"/>
          </w:tcPr>
          <w:p w14:paraId="5D83F58A" w14:textId="77777777" w:rsidR="00112F64" w:rsidRPr="004A3B5B" w:rsidRDefault="00112F64" w:rsidP="002B358B">
            <w:pPr>
              <w:autoSpaceDE w:val="0"/>
              <w:autoSpaceDN w:val="0"/>
              <w:adjustRightInd w:val="0"/>
              <w:spacing w:line="360" w:lineRule="auto"/>
              <w:jc w:val="both"/>
              <w:rPr>
                <w:rFonts w:eastAsia="Calibri"/>
              </w:rPr>
            </w:pPr>
          </w:p>
        </w:tc>
        <w:tc>
          <w:tcPr>
            <w:tcW w:w="1169" w:type="dxa"/>
          </w:tcPr>
          <w:p w14:paraId="2A6F9DF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29" w:type="dxa"/>
          </w:tcPr>
          <w:p w14:paraId="170B65E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399" w:type="dxa"/>
          </w:tcPr>
          <w:p w14:paraId="2B51BEC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476" w:type="dxa"/>
          </w:tcPr>
          <w:p w14:paraId="7A10293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70C23B7A" w14:textId="77777777" w:rsidTr="004A3B5B">
        <w:tc>
          <w:tcPr>
            <w:tcW w:w="737" w:type="dxa"/>
            <w:vMerge w:val="restart"/>
          </w:tcPr>
          <w:p w14:paraId="114BCD6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460" w:type="dxa"/>
          </w:tcPr>
          <w:p w14:paraId="2413C3A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Very quickly (within 10 minutes)</w:t>
            </w:r>
          </w:p>
        </w:tc>
        <w:tc>
          <w:tcPr>
            <w:tcW w:w="1169" w:type="dxa"/>
          </w:tcPr>
          <w:p w14:paraId="2546CD3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38</w:t>
            </w:r>
          </w:p>
        </w:tc>
        <w:tc>
          <w:tcPr>
            <w:tcW w:w="1029" w:type="dxa"/>
          </w:tcPr>
          <w:p w14:paraId="283AA89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399" w:type="dxa"/>
          </w:tcPr>
          <w:p w14:paraId="6D638AB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476" w:type="dxa"/>
          </w:tcPr>
          <w:p w14:paraId="1ECE709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r>
      <w:tr w:rsidR="004A3B5B" w:rsidRPr="004A3B5B" w14:paraId="1E8E70AC" w14:textId="77777777" w:rsidTr="004A3B5B">
        <w:tc>
          <w:tcPr>
            <w:tcW w:w="737" w:type="dxa"/>
            <w:vMerge/>
          </w:tcPr>
          <w:p w14:paraId="6670A35D" w14:textId="77777777" w:rsidR="00112F64" w:rsidRPr="004A3B5B" w:rsidRDefault="00112F64" w:rsidP="002B358B">
            <w:pPr>
              <w:autoSpaceDE w:val="0"/>
              <w:autoSpaceDN w:val="0"/>
              <w:adjustRightInd w:val="0"/>
              <w:spacing w:line="360" w:lineRule="auto"/>
              <w:jc w:val="both"/>
              <w:rPr>
                <w:rFonts w:eastAsia="Calibri"/>
              </w:rPr>
            </w:pPr>
          </w:p>
        </w:tc>
        <w:tc>
          <w:tcPr>
            <w:tcW w:w="2460" w:type="dxa"/>
          </w:tcPr>
          <w:p w14:paraId="0A38244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Quickly (10–20 minutes)</w:t>
            </w:r>
          </w:p>
        </w:tc>
        <w:tc>
          <w:tcPr>
            <w:tcW w:w="1169" w:type="dxa"/>
          </w:tcPr>
          <w:p w14:paraId="26D50E3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27</w:t>
            </w:r>
          </w:p>
        </w:tc>
        <w:tc>
          <w:tcPr>
            <w:tcW w:w="1029" w:type="dxa"/>
          </w:tcPr>
          <w:p w14:paraId="56900E7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30.0</w:t>
            </w:r>
          </w:p>
        </w:tc>
        <w:tc>
          <w:tcPr>
            <w:tcW w:w="1399" w:type="dxa"/>
          </w:tcPr>
          <w:p w14:paraId="6F875F3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30.0</w:t>
            </w:r>
          </w:p>
        </w:tc>
        <w:tc>
          <w:tcPr>
            <w:tcW w:w="1476" w:type="dxa"/>
          </w:tcPr>
          <w:p w14:paraId="375DA4F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72.2</w:t>
            </w:r>
          </w:p>
        </w:tc>
      </w:tr>
      <w:tr w:rsidR="004A3B5B" w:rsidRPr="004A3B5B" w14:paraId="76EF714D" w14:textId="77777777" w:rsidTr="004A3B5B">
        <w:tc>
          <w:tcPr>
            <w:tcW w:w="737" w:type="dxa"/>
            <w:vMerge/>
          </w:tcPr>
          <w:p w14:paraId="59854143" w14:textId="77777777" w:rsidR="00112F64" w:rsidRPr="004A3B5B" w:rsidRDefault="00112F64" w:rsidP="002B358B">
            <w:pPr>
              <w:autoSpaceDE w:val="0"/>
              <w:autoSpaceDN w:val="0"/>
              <w:adjustRightInd w:val="0"/>
              <w:spacing w:line="360" w:lineRule="auto"/>
              <w:jc w:val="both"/>
              <w:rPr>
                <w:rFonts w:eastAsia="Calibri"/>
              </w:rPr>
            </w:pPr>
          </w:p>
        </w:tc>
        <w:tc>
          <w:tcPr>
            <w:tcW w:w="2460" w:type="dxa"/>
          </w:tcPr>
          <w:p w14:paraId="68258BD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Moderate (21–40 minutes)</w:t>
            </w:r>
          </w:p>
        </w:tc>
        <w:tc>
          <w:tcPr>
            <w:tcW w:w="1169" w:type="dxa"/>
          </w:tcPr>
          <w:p w14:paraId="0371C10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w:t>
            </w:r>
          </w:p>
        </w:tc>
        <w:tc>
          <w:tcPr>
            <w:tcW w:w="1029" w:type="dxa"/>
          </w:tcPr>
          <w:p w14:paraId="3E06AC7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24.4</w:t>
            </w:r>
          </w:p>
        </w:tc>
        <w:tc>
          <w:tcPr>
            <w:tcW w:w="1399" w:type="dxa"/>
          </w:tcPr>
          <w:p w14:paraId="21132E4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24.4</w:t>
            </w:r>
          </w:p>
        </w:tc>
        <w:tc>
          <w:tcPr>
            <w:tcW w:w="1476" w:type="dxa"/>
          </w:tcPr>
          <w:p w14:paraId="77E3BDA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96.7</w:t>
            </w:r>
          </w:p>
        </w:tc>
      </w:tr>
      <w:tr w:rsidR="004A3B5B" w:rsidRPr="004A3B5B" w14:paraId="2DA4A7D1" w14:textId="77777777" w:rsidTr="004A3B5B">
        <w:tc>
          <w:tcPr>
            <w:tcW w:w="737" w:type="dxa"/>
            <w:vMerge/>
          </w:tcPr>
          <w:p w14:paraId="5ADA9BAB" w14:textId="77777777" w:rsidR="00112F64" w:rsidRPr="004A3B5B" w:rsidRDefault="00112F64" w:rsidP="002B358B">
            <w:pPr>
              <w:autoSpaceDE w:val="0"/>
              <w:autoSpaceDN w:val="0"/>
              <w:adjustRightInd w:val="0"/>
              <w:spacing w:line="360" w:lineRule="auto"/>
              <w:jc w:val="both"/>
              <w:rPr>
                <w:rFonts w:eastAsia="Calibri"/>
              </w:rPr>
            </w:pPr>
          </w:p>
        </w:tc>
        <w:tc>
          <w:tcPr>
            <w:tcW w:w="2460" w:type="dxa"/>
          </w:tcPr>
          <w:p w14:paraId="0F92E35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Slow (41–60 minutes)</w:t>
            </w:r>
          </w:p>
        </w:tc>
        <w:tc>
          <w:tcPr>
            <w:tcW w:w="1169" w:type="dxa"/>
          </w:tcPr>
          <w:p w14:paraId="1128298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w:t>
            </w:r>
          </w:p>
        </w:tc>
        <w:tc>
          <w:tcPr>
            <w:tcW w:w="1029" w:type="dxa"/>
          </w:tcPr>
          <w:p w14:paraId="4CCD8D8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w:t>
            </w:r>
          </w:p>
        </w:tc>
        <w:tc>
          <w:tcPr>
            <w:tcW w:w="1399" w:type="dxa"/>
          </w:tcPr>
          <w:p w14:paraId="04BB9FC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w:t>
            </w:r>
          </w:p>
        </w:tc>
        <w:tc>
          <w:tcPr>
            <w:tcW w:w="1476" w:type="dxa"/>
          </w:tcPr>
          <w:p w14:paraId="2CED7B6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98.9</w:t>
            </w:r>
          </w:p>
        </w:tc>
      </w:tr>
      <w:tr w:rsidR="004A3B5B" w:rsidRPr="004A3B5B" w14:paraId="61778FA6" w14:textId="77777777" w:rsidTr="004A3B5B">
        <w:tc>
          <w:tcPr>
            <w:tcW w:w="737" w:type="dxa"/>
            <w:vMerge/>
          </w:tcPr>
          <w:p w14:paraId="20C6BEA4" w14:textId="77777777" w:rsidR="00112F64" w:rsidRPr="004A3B5B" w:rsidRDefault="00112F64" w:rsidP="002B358B">
            <w:pPr>
              <w:autoSpaceDE w:val="0"/>
              <w:autoSpaceDN w:val="0"/>
              <w:adjustRightInd w:val="0"/>
              <w:spacing w:line="360" w:lineRule="auto"/>
              <w:jc w:val="both"/>
              <w:rPr>
                <w:rFonts w:eastAsia="Calibri"/>
              </w:rPr>
            </w:pPr>
          </w:p>
        </w:tc>
        <w:tc>
          <w:tcPr>
            <w:tcW w:w="2460" w:type="dxa"/>
          </w:tcPr>
          <w:p w14:paraId="038C588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Very slow (&gt;60 minutes)</w:t>
            </w:r>
          </w:p>
        </w:tc>
        <w:tc>
          <w:tcPr>
            <w:tcW w:w="1169" w:type="dxa"/>
          </w:tcPr>
          <w:p w14:paraId="3A2CAFF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w:t>
            </w:r>
          </w:p>
        </w:tc>
        <w:tc>
          <w:tcPr>
            <w:tcW w:w="1029" w:type="dxa"/>
          </w:tcPr>
          <w:p w14:paraId="5F67AC2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w:t>
            </w:r>
          </w:p>
        </w:tc>
        <w:tc>
          <w:tcPr>
            <w:tcW w:w="1399" w:type="dxa"/>
          </w:tcPr>
          <w:p w14:paraId="27439BE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w:t>
            </w:r>
          </w:p>
        </w:tc>
        <w:tc>
          <w:tcPr>
            <w:tcW w:w="1476" w:type="dxa"/>
          </w:tcPr>
          <w:p w14:paraId="67C0909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1F10749B" w14:textId="77777777" w:rsidTr="004A3B5B">
        <w:tc>
          <w:tcPr>
            <w:tcW w:w="737" w:type="dxa"/>
            <w:vMerge/>
          </w:tcPr>
          <w:p w14:paraId="42CEC63F" w14:textId="77777777" w:rsidR="00112F64" w:rsidRPr="004A3B5B" w:rsidRDefault="00112F64" w:rsidP="002B358B">
            <w:pPr>
              <w:autoSpaceDE w:val="0"/>
              <w:autoSpaceDN w:val="0"/>
              <w:adjustRightInd w:val="0"/>
              <w:spacing w:line="360" w:lineRule="auto"/>
              <w:jc w:val="both"/>
              <w:rPr>
                <w:rFonts w:eastAsia="Calibri"/>
              </w:rPr>
            </w:pPr>
          </w:p>
        </w:tc>
        <w:tc>
          <w:tcPr>
            <w:tcW w:w="2460" w:type="dxa"/>
          </w:tcPr>
          <w:p w14:paraId="11982AC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169" w:type="dxa"/>
          </w:tcPr>
          <w:p w14:paraId="15AE614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29" w:type="dxa"/>
          </w:tcPr>
          <w:p w14:paraId="5DD7794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399" w:type="dxa"/>
          </w:tcPr>
          <w:p w14:paraId="2E53618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476" w:type="dxa"/>
          </w:tcPr>
          <w:p w14:paraId="4FD0F9EA" w14:textId="77777777" w:rsidR="00112F64" w:rsidRPr="004A3B5B" w:rsidRDefault="00112F64" w:rsidP="002B358B">
            <w:pPr>
              <w:autoSpaceDE w:val="0"/>
              <w:autoSpaceDN w:val="0"/>
              <w:adjustRightInd w:val="0"/>
              <w:spacing w:line="360" w:lineRule="auto"/>
              <w:jc w:val="both"/>
              <w:rPr>
                <w:rFonts w:eastAsia="Calibri"/>
              </w:rPr>
            </w:pPr>
          </w:p>
        </w:tc>
      </w:tr>
    </w:tbl>
    <w:p w14:paraId="555615AE" w14:textId="77777777" w:rsidR="00112F64" w:rsidRPr="00112F64" w:rsidRDefault="00112F64" w:rsidP="002B358B">
      <w:pPr>
        <w:spacing w:line="360" w:lineRule="auto"/>
        <w:jc w:val="both"/>
        <w:rPr>
          <w:rFonts w:eastAsia="Calibri"/>
        </w:rPr>
      </w:pPr>
    </w:p>
    <w:p w14:paraId="628A96F7" w14:textId="0A1FDAF4" w:rsidR="00112F64" w:rsidRPr="00112F64" w:rsidRDefault="00C32311" w:rsidP="002B358B">
      <w:pPr>
        <w:spacing w:line="360" w:lineRule="auto"/>
        <w:jc w:val="both"/>
        <w:rPr>
          <w:rFonts w:eastAsia="Calibri"/>
        </w:rPr>
      </w:pPr>
      <w:r>
        <w:rPr>
          <w:rFonts w:eastAsia="Calibri"/>
        </w:rPr>
        <w:t>Table 4.28</w:t>
      </w:r>
      <w:r w:rsidR="00112F64" w:rsidRPr="00112F64">
        <w:rPr>
          <w:rFonts w:eastAsia="Calibri"/>
        </w:rPr>
        <w:t xml:space="preserve"> above indicates that emergency services generally responded quickly to the fire incidents witnessed by the respondents, with 42.2% arriving within 10 minutes and 30% within 10–20 minutes, totalling 72.2% of responses in the first two time frames. A further 24.4% arrived in 21–40 minutes, while only 2.2% were slow (41–60 minutes) and 1.1% very slow (&gt;60 minutes). </w:t>
      </w:r>
      <w:r w:rsidR="00112F64" w:rsidRPr="00112F64">
        <w:rPr>
          <w:rFonts w:eastAsia="Calibri"/>
        </w:rPr>
        <w:lastRenderedPageBreak/>
        <w:t>The data indicate that emergency responses were efficient and prompt in most cases, with delays being rare and rapid responses critical for safety and damage minimization.</w:t>
      </w:r>
    </w:p>
    <w:p w14:paraId="79CE6B00"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455" w:type="dxa"/>
        <w:tblLayout w:type="fixed"/>
        <w:tblLook w:val="0000" w:firstRow="0" w:lastRow="0" w:firstColumn="0" w:lastColumn="0" w:noHBand="0" w:noVBand="0"/>
      </w:tblPr>
      <w:tblGrid>
        <w:gridCol w:w="895"/>
        <w:gridCol w:w="1350"/>
        <w:gridCol w:w="1350"/>
        <w:gridCol w:w="1080"/>
        <w:gridCol w:w="2070"/>
        <w:gridCol w:w="1710"/>
      </w:tblGrid>
      <w:tr w:rsidR="004A3B5B" w:rsidRPr="004A3B5B" w14:paraId="3B0C71FC" w14:textId="77777777" w:rsidTr="004A3B5B">
        <w:tc>
          <w:tcPr>
            <w:tcW w:w="8455" w:type="dxa"/>
            <w:gridSpan w:val="6"/>
          </w:tcPr>
          <w:p w14:paraId="7EEBE711" w14:textId="58174340" w:rsidR="00112F64" w:rsidRPr="004A3B5B" w:rsidRDefault="00C32311" w:rsidP="002B358B">
            <w:pPr>
              <w:autoSpaceDE w:val="0"/>
              <w:autoSpaceDN w:val="0"/>
              <w:adjustRightInd w:val="0"/>
              <w:spacing w:line="360" w:lineRule="auto"/>
              <w:ind w:right="60"/>
              <w:jc w:val="both"/>
              <w:rPr>
                <w:rFonts w:eastAsia="Calibri"/>
                <w:b/>
                <w:bCs/>
              </w:rPr>
            </w:pPr>
            <w:r w:rsidRPr="004A3B5B">
              <w:rPr>
                <w:rFonts w:eastAsia="Calibri"/>
                <w:b/>
                <w:bCs/>
              </w:rPr>
              <w:t>Table 4.29</w:t>
            </w:r>
          </w:p>
        </w:tc>
      </w:tr>
      <w:tr w:rsidR="004A3B5B" w:rsidRPr="004A3B5B" w14:paraId="0CFEB882" w14:textId="77777777" w:rsidTr="004A3B5B">
        <w:tc>
          <w:tcPr>
            <w:tcW w:w="2245" w:type="dxa"/>
            <w:gridSpan w:val="2"/>
          </w:tcPr>
          <w:p w14:paraId="677D9F4B"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5954FCC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80" w:type="dxa"/>
          </w:tcPr>
          <w:p w14:paraId="2C7233C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2070" w:type="dxa"/>
          </w:tcPr>
          <w:p w14:paraId="3439898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710" w:type="dxa"/>
          </w:tcPr>
          <w:p w14:paraId="1E5DBBE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43526C6D" w14:textId="77777777" w:rsidTr="004A3B5B">
        <w:tc>
          <w:tcPr>
            <w:tcW w:w="895" w:type="dxa"/>
            <w:vMerge w:val="restart"/>
          </w:tcPr>
          <w:p w14:paraId="22F9050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1350" w:type="dxa"/>
          </w:tcPr>
          <w:p w14:paraId="4643BBE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Excellent</w:t>
            </w:r>
          </w:p>
        </w:tc>
        <w:tc>
          <w:tcPr>
            <w:tcW w:w="1350" w:type="dxa"/>
          </w:tcPr>
          <w:p w14:paraId="2F8C9A9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31</w:t>
            </w:r>
          </w:p>
        </w:tc>
        <w:tc>
          <w:tcPr>
            <w:tcW w:w="1080" w:type="dxa"/>
          </w:tcPr>
          <w:p w14:paraId="401418A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c>
          <w:tcPr>
            <w:tcW w:w="2070" w:type="dxa"/>
          </w:tcPr>
          <w:p w14:paraId="5E02B18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c>
          <w:tcPr>
            <w:tcW w:w="1710" w:type="dxa"/>
          </w:tcPr>
          <w:p w14:paraId="286199B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r>
      <w:tr w:rsidR="004A3B5B" w:rsidRPr="004A3B5B" w14:paraId="38112CD5" w14:textId="77777777" w:rsidTr="004A3B5B">
        <w:tc>
          <w:tcPr>
            <w:tcW w:w="895" w:type="dxa"/>
            <w:vMerge/>
          </w:tcPr>
          <w:p w14:paraId="4C1669DD"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12E81C1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Good</w:t>
            </w:r>
          </w:p>
        </w:tc>
        <w:tc>
          <w:tcPr>
            <w:tcW w:w="1350" w:type="dxa"/>
          </w:tcPr>
          <w:p w14:paraId="6D89E81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30</w:t>
            </w:r>
          </w:p>
        </w:tc>
        <w:tc>
          <w:tcPr>
            <w:tcW w:w="1080" w:type="dxa"/>
          </w:tcPr>
          <w:p w14:paraId="5E9A408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33.3</w:t>
            </w:r>
          </w:p>
        </w:tc>
        <w:tc>
          <w:tcPr>
            <w:tcW w:w="2070" w:type="dxa"/>
          </w:tcPr>
          <w:p w14:paraId="5EAA6A7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33.3</w:t>
            </w:r>
          </w:p>
        </w:tc>
        <w:tc>
          <w:tcPr>
            <w:tcW w:w="1710" w:type="dxa"/>
          </w:tcPr>
          <w:p w14:paraId="4AC30E8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67.8</w:t>
            </w:r>
          </w:p>
        </w:tc>
      </w:tr>
      <w:tr w:rsidR="004A3B5B" w:rsidRPr="004A3B5B" w14:paraId="022BFFF3" w14:textId="77777777" w:rsidTr="004A3B5B">
        <w:tc>
          <w:tcPr>
            <w:tcW w:w="895" w:type="dxa"/>
            <w:vMerge/>
          </w:tcPr>
          <w:p w14:paraId="05F1AE6A"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23BCD37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Fair</w:t>
            </w:r>
          </w:p>
        </w:tc>
        <w:tc>
          <w:tcPr>
            <w:tcW w:w="1350" w:type="dxa"/>
          </w:tcPr>
          <w:p w14:paraId="1E09C74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17</w:t>
            </w:r>
          </w:p>
        </w:tc>
        <w:tc>
          <w:tcPr>
            <w:tcW w:w="1080" w:type="dxa"/>
          </w:tcPr>
          <w:p w14:paraId="782F1EC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18.9</w:t>
            </w:r>
          </w:p>
        </w:tc>
        <w:tc>
          <w:tcPr>
            <w:tcW w:w="2070" w:type="dxa"/>
          </w:tcPr>
          <w:p w14:paraId="42BD6BC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18.9</w:t>
            </w:r>
          </w:p>
        </w:tc>
        <w:tc>
          <w:tcPr>
            <w:tcW w:w="1710" w:type="dxa"/>
          </w:tcPr>
          <w:p w14:paraId="77DD5C5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86.7</w:t>
            </w:r>
          </w:p>
        </w:tc>
      </w:tr>
      <w:tr w:rsidR="004A3B5B" w:rsidRPr="004A3B5B" w14:paraId="06CBCE4F" w14:textId="77777777" w:rsidTr="004A3B5B">
        <w:tc>
          <w:tcPr>
            <w:tcW w:w="895" w:type="dxa"/>
            <w:vMerge/>
          </w:tcPr>
          <w:p w14:paraId="6D06C373"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3784F92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Poor</w:t>
            </w:r>
          </w:p>
        </w:tc>
        <w:tc>
          <w:tcPr>
            <w:tcW w:w="1350" w:type="dxa"/>
          </w:tcPr>
          <w:p w14:paraId="03565C8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w:t>
            </w:r>
          </w:p>
        </w:tc>
        <w:tc>
          <w:tcPr>
            <w:tcW w:w="1080" w:type="dxa"/>
          </w:tcPr>
          <w:p w14:paraId="232966D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2070" w:type="dxa"/>
          </w:tcPr>
          <w:p w14:paraId="065B02E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710" w:type="dxa"/>
          </w:tcPr>
          <w:p w14:paraId="6C8A0AC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91.1</w:t>
            </w:r>
          </w:p>
        </w:tc>
      </w:tr>
      <w:tr w:rsidR="004A3B5B" w:rsidRPr="004A3B5B" w14:paraId="3C6D7589" w14:textId="77777777" w:rsidTr="004A3B5B">
        <w:tc>
          <w:tcPr>
            <w:tcW w:w="895" w:type="dxa"/>
            <w:vMerge/>
          </w:tcPr>
          <w:p w14:paraId="53B65CBA"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161035F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Very poor</w:t>
            </w:r>
          </w:p>
        </w:tc>
        <w:tc>
          <w:tcPr>
            <w:tcW w:w="1350" w:type="dxa"/>
          </w:tcPr>
          <w:p w14:paraId="06F3423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w:t>
            </w:r>
          </w:p>
        </w:tc>
        <w:tc>
          <w:tcPr>
            <w:tcW w:w="1080" w:type="dxa"/>
          </w:tcPr>
          <w:p w14:paraId="3D40DB2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w:t>
            </w:r>
          </w:p>
        </w:tc>
        <w:tc>
          <w:tcPr>
            <w:tcW w:w="2070" w:type="dxa"/>
          </w:tcPr>
          <w:p w14:paraId="7C243B7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w:t>
            </w:r>
          </w:p>
        </w:tc>
        <w:tc>
          <w:tcPr>
            <w:tcW w:w="1710" w:type="dxa"/>
          </w:tcPr>
          <w:p w14:paraId="150A04F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93.3</w:t>
            </w:r>
          </w:p>
        </w:tc>
      </w:tr>
      <w:tr w:rsidR="004A3B5B" w:rsidRPr="004A3B5B" w14:paraId="73782778" w14:textId="77777777" w:rsidTr="004A3B5B">
        <w:tc>
          <w:tcPr>
            <w:tcW w:w="895" w:type="dxa"/>
            <w:vMerge/>
          </w:tcPr>
          <w:p w14:paraId="4E42E1A2"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76D6EE0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Not sure</w:t>
            </w:r>
          </w:p>
        </w:tc>
        <w:tc>
          <w:tcPr>
            <w:tcW w:w="1350" w:type="dxa"/>
          </w:tcPr>
          <w:p w14:paraId="2E7644C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w:t>
            </w:r>
          </w:p>
        </w:tc>
        <w:tc>
          <w:tcPr>
            <w:tcW w:w="1080" w:type="dxa"/>
          </w:tcPr>
          <w:p w14:paraId="0A39760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6.7</w:t>
            </w:r>
          </w:p>
        </w:tc>
        <w:tc>
          <w:tcPr>
            <w:tcW w:w="2070" w:type="dxa"/>
          </w:tcPr>
          <w:p w14:paraId="5971244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6.7</w:t>
            </w:r>
          </w:p>
        </w:tc>
        <w:tc>
          <w:tcPr>
            <w:tcW w:w="1710" w:type="dxa"/>
          </w:tcPr>
          <w:p w14:paraId="6488E9A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6593C77B" w14:textId="77777777" w:rsidTr="004A3B5B">
        <w:tc>
          <w:tcPr>
            <w:tcW w:w="895" w:type="dxa"/>
            <w:vMerge/>
          </w:tcPr>
          <w:p w14:paraId="638F2033"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04D33D3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350" w:type="dxa"/>
          </w:tcPr>
          <w:p w14:paraId="36E1188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747735A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2070" w:type="dxa"/>
          </w:tcPr>
          <w:p w14:paraId="1C5156F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710" w:type="dxa"/>
          </w:tcPr>
          <w:p w14:paraId="77828777" w14:textId="77777777" w:rsidR="00112F64" w:rsidRPr="004A3B5B" w:rsidRDefault="00112F64" w:rsidP="002B358B">
            <w:pPr>
              <w:autoSpaceDE w:val="0"/>
              <w:autoSpaceDN w:val="0"/>
              <w:adjustRightInd w:val="0"/>
              <w:spacing w:line="360" w:lineRule="auto"/>
              <w:jc w:val="both"/>
              <w:rPr>
                <w:rFonts w:eastAsia="Calibri"/>
              </w:rPr>
            </w:pPr>
          </w:p>
        </w:tc>
      </w:tr>
    </w:tbl>
    <w:p w14:paraId="05C6910A" w14:textId="77777777" w:rsidR="004A3B5B" w:rsidRDefault="004A3B5B" w:rsidP="002B358B">
      <w:pPr>
        <w:autoSpaceDE w:val="0"/>
        <w:autoSpaceDN w:val="0"/>
        <w:adjustRightInd w:val="0"/>
        <w:spacing w:line="360" w:lineRule="auto"/>
        <w:jc w:val="both"/>
        <w:rPr>
          <w:rFonts w:eastAsia="Calibri"/>
        </w:rPr>
      </w:pPr>
    </w:p>
    <w:p w14:paraId="71589F35" w14:textId="108CD4A6" w:rsidR="00112F64" w:rsidRPr="00112F64" w:rsidRDefault="00C32311" w:rsidP="002B358B">
      <w:pPr>
        <w:autoSpaceDE w:val="0"/>
        <w:autoSpaceDN w:val="0"/>
        <w:adjustRightInd w:val="0"/>
        <w:spacing w:line="360" w:lineRule="auto"/>
        <w:jc w:val="both"/>
        <w:rPr>
          <w:rFonts w:eastAsia="Calibri"/>
        </w:rPr>
      </w:pPr>
      <w:r>
        <w:rPr>
          <w:rFonts w:eastAsia="Calibri"/>
        </w:rPr>
        <w:t>Table 4.29</w:t>
      </w:r>
      <w:r w:rsidR="00112F64" w:rsidRPr="00112F64">
        <w:rPr>
          <w:rFonts w:eastAsia="Calibri"/>
        </w:rPr>
        <w:t xml:space="preserve"> above shows Harare City’s fire prevention and response systems are viewed positively by respondents, with 34.4% rating them excellent and 33.3% good, totalling about 67.7% favourable. A minority rates them fair (18.9%), poor (4.4%), or very poor (2.2%), while 6.7% are unsure, indicating some room for improvement and gaps in awareness. Overall, the data suggests good to excellent perceived effectiveness, but targeted enhancements and greater public awareness could further boost performance.</w:t>
      </w:r>
    </w:p>
    <w:p w14:paraId="6FE0B92D" w14:textId="77777777" w:rsidR="00112F64" w:rsidRPr="00112F64" w:rsidRDefault="00112F64" w:rsidP="002B358B">
      <w:pPr>
        <w:autoSpaceDE w:val="0"/>
        <w:autoSpaceDN w:val="0"/>
        <w:adjustRightInd w:val="0"/>
        <w:spacing w:line="360" w:lineRule="auto"/>
        <w:jc w:val="both"/>
        <w:rPr>
          <w:rFonts w:eastAsia="Calibri"/>
        </w:rPr>
      </w:pPr>
    </w:p>
    <w:p w14:paraId="1B2CD62E" w14:textId="77777777" w:rsidR="00112F64" w:rsidRPr="004A3B5B" w:rsidRDefault="00112F64" w:rsidP="002B358B">
      <w:pPr>
        <w:autoSpaceDE w:val="0"/>
        <w:autoSpaceDN w:val="0"/>
        <w:adjustRightInd w:val="0"/>
        <w:spacing w:line="360" w:lineRule="auto"/>
        <w:jc w:val="both"/>
        <w:rPr>
          <w:rFonts w:eastAsia="Calibri"/>
          <w:b/>
          <w:bCs/>
        </w:rPr>
      </w:pPr>
    </w:p>
    <w:tbl>
      <w:tblPr>
        <w:tblStyle w:val="TableGrid"/>
        <w:tblW w:w="8635" w:type="dxa"/>
        <w:tblLayout w:type="fixed"/>
        <w:tblLook w:val="0000" w:firstRow="0" w:lastRow="0" w:firstColumn="0" w:lastColumn="0" w:noHBand="0" w:noVBand="0"/>
      </w:tblPr>
      <w:tblGrid>
        <w:gridCol w:w="895"/>
        <w:gridCol w:w="2302"/>
        <w:gridCol w:w="1298"/>
        <w:gridCol w:w="1440"/>
        <w:gridCol w:w="1170"/>
        <w:gridCol w:w="1530"/>
      </w:tblGrid>
      <w:tr w:rsidR="004A3B5B" w:rsidRPr="004A3B5B" w14:paraId="77529A4F" w14:textId="77777777" w:rsidTr="004A3B5B">
        <w:tc>
          <w:tcPr>
            <w:tcW w:w="8635" w:type="dxa"/>
            <w:gridSpan w:val="6"/>
          </w:tcPr>
          <w:p w14:paraId="22216CAB" w14:textId="08637F39" w:rsidR="00112F64" w:rsidRPr="004A3B5B" w:rsidRDefault="00C32311" w:rsidP="002B358B">
            <w:pPr>
              <w:autoSpaceDE w:val="0"/>
              <w:autoSpaceDN w:val="0"/>
              <w:adjustRightInd w:val="0"/>
              <w:spacing w:line="360" w:lineRule="auto"/>
              <w:ind w:right="60"/>
              <w:jc w:val="both"/>
              <w:rPr>
                <w:rFonts w:eastAsia="Calibri"/>
                <w:b/>
                <w:bCs/>
              </w:rPr>
            </w:pPr>
            <w:r w:rsidRPr="004A3B5B">
              <w:rPr>
                <w:rFonts w:eastAsia="Calibri"/>
                <w:b/>
                <w:bCs/>
              </w:rPr>
              <w:t>Table 4.30</w:t>
            </w:r>
          </w:p>
        </w:tc>
      </w:tr>
      <w:tr w:rsidR="004A3B5B" w:rsidRPr="004A3B5B" w14:paraId="35448BCB" w14:textId="77777777" w:rsidTr="004A3B5B">
        <w:tc>
          <w:tcPr>
            <w:tcW w:w="3197" w:type="dxa"/>
            <w:gridSpan w:val="2"/>
          </w:tcPr>
          <w:p w14:paraId="36F6BFC3" w14:textId="77777777" w:rsidR="00112F64" w:rsidRPr="004A3B5B" w:rsidRDefault="00112F64" w:rsidP="002B358B">
            <w:pPr>
              <w:autoSpaceDE w:val="0"/>
              <w:autoSpaceDN w:val="0"/>
              <w:adjustRightInd w:val="0"/>
              <w:spacing w:line="360" w:lineRule="auto"/>
              <w:jc w:val="both"/>
              <w:rPr>
                <w:rFonts w:eastAsia="Calibri"/>
              </w:rPr>
            </w:pPr>
          </w:p>
        </w:tc>
        <w:tc>
          <w:tcPr>
            <w:tcW w:w="1298" w:type="dxa"/>
          </w:tcPr>
          <w:p w14:paraId="3327677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440" w:type="dxa"/>
          </w:tcPr>
          <w:p w14:paraId="09B83E7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170" w:type="dxa"/>
          </w:tcPr>
          <w:p w14:paraId="7C40D14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530" w:type="dxa"/>
          </w:tcPr>
          <w:p w14:paraId="5DA8F17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2B395F11" w14:textId="77777777" w:rsidTr="004A3B5B">
        <w:tc>
          <w:tcPr>
            <w:tcW w:w="895" w:type="dxa"/>
            <w:vMerge w:val="restart"/>
          </w:tcPr>
          <w:p w14:paraId="21B3C69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302" w:type="dxa"/>
          </w:tcPr>
          <w:p w14:paraId="08D71CA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Public awareness and education</w:t>
            </w:r>
          </w:p>
        </w:tc>
        <w:tc>
          <w:tcPr>
            <w:tcW w:w="1298" w:type="dxa"/>
          </w:tcPr>
          <w:p w14:paraId="3F73CFB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32</w:t>
            </w:r>
          </w:p>
        </w:tc>
        <w:tc>
          <w:tcPr>
            <w:tcW w:w="1440" w:type="dxa"/>
          </w:tcPr>
          <w:p w14:paraId="58F3B80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c>
          <w:tcPr>
            <w:tcW w:w="1170" w:type="dxa"/>
          </w:tcPr>
          <w:p w14:paraId="18E6DE2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c>
          <w:tcPr>
            <w:tcW w:w="1530" w:type="dxa"/>
          </w:tcPr>
          <w:p w14:paraId="6BE42A5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35.6</w:t>
            </w:r>
          </w:p>
        </w:tc>
      </w:tr>
      <w:tr w:rsidR="004A3B5B" w:rsidRPr="004A3B5B" w14:paraId="7D44DF9F" w14:textId="77777777" w:rsidTr="004A3B5B">
        <w:tc>
          <w:tcPr>
            <w:tcW w:w="895" w:type="dxa"/>
            <w:vMerge/>
          </w:tcPr>
          <w:p w14:paraId="5300D4A2"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61EA334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Accessibility of fire stations and water supply</w:t>
            </w:r>
          </w:p>
        </w:tc>
        <w:tc>
          <w:tcPr>
            <w:tcW w:w="1298" w:type="dxa"/>
          </w:tcPr>
          <w:p w14:paraId="70BEF2C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w:t>
            </w:r>
          </w:p>
        </w:tc>
        <w:tc>
          <w:tcPr>
            <w:tcW w:w="1440" w:type="dxa"/>
          </w:tcPr>
          <w:p w14:paraId="6873B18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11.1</w:t>
            </w:r>
          </w:p>
        </w:tc>
        <w:tc>
          <w:tcPr>
            <w:tcW w:w="1170" w:type="dxa"/>
          </w:tcPr>
          <w:p w14:paraId="396E529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11.1</w:t>
            </w:r>
          </w:p>
        </w:tc>
        <w:tc>
          <w:tcPr>
            <w:tcW w:w="1530" w:type="dxa"/>
          </w:tcPr>
          <w:p w14:paraId="5863872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46.7</w:t>
            </w:r>
          </w:p>
        </w:tc>
      </w:tr>
      <w:tr w:rsidR="004A3B5B" w:rsidRPr="004A3B5B" w14:paraId="5EA25BA0" w14:textId="77777777" w:rsidTr="004A3B5B">
        <w:tc>
          <w:tcPr>
            <w:tcW w:w="895" w:type="dxa"/>
            <w:vMerge/>
          </w:tcPr>
          <w:p w14:paraId="5643CBA6"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01E886E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Training of residents and business owners</w:t>
            </w:r>
          </w:p>
        </w:tc>
        <w:tc>
          <w:tcPr>
            <w:tcW w:w="1298" w:type="dxa"/>
          </w:tcPr>
          <w:p w14:paraId="508D3A5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25</w:t>
            </w:r>
          </w:p>
        </w:tc>
        <w:tc>
          <w:tcPr>
            <w:tcW w:w="1440" w:type="dxa"/>
          </w:tcPr>
          <w:p w14:paraId="550317C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27.8</w:t>
            </w:r>
          </w:p>
        </w:tc>
        <w:tc>
          <w:tcPr>
            <w:tcW w:w="1170" w:type="dxa"/>
          </w:tcPr>
          <w:p w14:paraId="72B53DA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27.8</w:t>
            </w:r>
          </w:p>
        </w:tc>
        <w:tc>
          <w:tcPr>
            <w:tcW w:w="1530" w:type="dxa"/>
          </w:tcPr>
          <w:p w14:paraId="2E0A5D1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74.4</w:t>
            </w:r>
          </w:p>
        </w:tc>
      </w:tr>
      <w:tr w:rsidR="004A3B5B" w:rsidRPr="004A3B5B" w14:paraId="426A95A5" w14:textId="77777777" w:rsidTr="004A3B5B">
        <w:tc>
          <w:tcPr>
            <w:tcW w:w="895" w:type="dxa"/>
            <w:vMerge/>
          </w:tcPr>
          <w:p w14:paraId="15A1F746"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0197EC5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Availability and maintenance of firefighting equipment</w:t>
            </w:r>
          </w:p>
        </w:tc>
        <w:tc>
          <w:tcPr>
            <w:tcW w:w="1298" w:type="dxa"/>
          </w:tcPr>
          <w:p w14:paraId="3C53342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w:t>
            </w:r>
          </w:p>
        </w:tc>
        <w:tc>
          <w:tcPr>
            <w:tcW w:w="1440" w:type="dxa"/>
          </w:tcPr>
          <w:p w14:paraId="5F05896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170" w:type="dxa"/>
          </w:tcPr>
          <w:p w14:paraId="727403C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530" w:type="dxa"/>
          </w:tcPr>
          <w:p w14:paraId="67C3178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78.9</w:t>
            </w:r>
          </w:p>
        </w:tc>
      </w:tr>
      <w:tr w:rsidR="004A3B5B" w:rsidRPr="004A3B5B" w14:paraId="0F0E8A44" w14:textId="77777777" w:rsidTr="004A3B5B">
        <w:tc>
          <w:tcPr>
            <w:tcW w:w="895" w:type="dxa"/>
            <w:vMerge/>
          </w:tcPr>
          <w:p w14:paraId="0DFBC199"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0E3EB83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Emergency communication and reporting systems</w:t>
            </w:r>
          </w:p>
        </w:tc>
        <w:tc>
          <w:tcPr>
            <w:tcW w:w="1298" w:type="dxa"/>
          </w:tcPr>
          <w:p w14:paraId="172DE13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15</w:t>
            </w:r>
          </w:p>
        </w:tc>
        <w:tc>
          <w:tcPr>
            <w:tcW w:w="1440" w:type="dxa"/>
          </w:tcPr>
          <w:p w14:paraId="5625962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16.7</w:t>
            </w:r>
          </w:p>
        </w:tc>
        <w:tc>
          <w:tcPr>
            <w:tcW w:w="1170" w:type="dxa"/>
          </w:tcPr>
          <w:p w14:paraId="7AFF3A1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16.7</w:t>
            </w:r>
          </w:p>
        </w:tc>
        <w:tc>
          <w:tcPr>
            <w:tcW w:w="1530" w:type="dxa"/>
          </w:tcPr>
          <w:p w14:paraId="2C63E32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95.6</w:t>
            </w:r>
          </w:p>
        </w:tc>
      </w:tr>
      <w:tr w:rsidR="004A3B5B" w:rsidRPr="004A3B5B" w14:paraId="5D3BEEC2" w14:textId="77777777" w:rsidTr="004A3B5B">
        <w:tc>
          <w:tcPr>
            <w:tcW w:w="895" w:type="dxa"/>
            <w:vMerge/>
          </w:tcPr>
          <w:p w14:paraId="3BDB1B89"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5FBC1F8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Coordination between agencies (police, fire, health, municipalities)</w:t>
            </w:r>
          </w:p>
        </w:tc>
        <w:tc>
          <w:tcPr>
            <w:tcW w:w="1298" w:type="dxa"/>
          </w:tcPr>
          <w:p w14:paraId="4F123FD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w:t>
            </w:r>
          </w:p>
        </w:tc>
        <w:tc>
          <w:tcPr>
            <w:tcW w:w="1440" w:type="dxa"/>
          </w:tcPr>
          <w:p w14:paraId="0A27944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170" w:type="dxa"/>
          </w:tcPr>
          <w:p w14:paraId="2B70A06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530" w:type="dxa"/>
          </w:tcPr>
          <w:p w14:paraId="1AC6F1E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597A0D2C" w14:textId="77777777" w:rsidTr="004A3B5B">
        <w:tc>
          <w:tcPr>
            <w:tcW w:w="895" w:type="dxa"/>
            <w:vMerge/>
          </w:tcPr>
          <w:p w14:paraId="5F436443" w14:textId="77777777" w:rsidR="00112F64" w:rsidRPr="004A3B5B" w:rsidRDefault="00112F64" w:rsidP="002B358B">
            <w:pPr>
              <w:autoSpaceDE w:val="0"/>
              <w:autoSpaceDN w:val="0"/>
              <w:adjustRightInd w:val="0"/>
              <w:spacing w:line="360" w:lineRule="auto"/>
              <w:jc w:val="both"/>
              <w:rPr>
                <w:rFonts w:eastAsia="Calibri"/>
              </w:rPr>
            </w:pPr>
          </w:p>
        </w:tc>
        <w:tc>
          <w:tcPr>
            <w:tcW w:w="2302" w:type="dxa"/>
          </w:tcPr>
          <w:p w14:paraId="376A4BB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298" w:type="dxa"/>
          </w:tcPr>
          <w:p w14:paraId="03E84CA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440" w:type="dxa"/>
          </w:tcPr>
          <w:p w14:paraId="01D0947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170" w:type="dxa"/>
          </w:tcPr>
          <w:p w14:paraId="39DC096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530" w:type="dxa"/>
          </w:tcPr>
          <w:p w14:paraId="49624190" w14:textId="77777777" w:rsidR="00112F64" w:rsidRPr="004A3B5B" w:rsidRDefault="00112F64" w:rsidP="002B358B">
            <w:pPr>
              <w:autoSpaceDE w:val="0"/>
              <w:autoSpaceDN w:val="0"/>
              <w:adjustRightInd w:val="0"/>
              <w:spacing w:line="360" w:lineRule="auto"/>
              <w:jc w:val="both"/>
              <w:rPr>
                <w:rFonts w:eastAsia="Calibri"/>
              </w:rPr>
            </w:pPr>
          </w:p>
        </w:tc>
      </w:tr>
    </w:tbl>
    <w:p w14:paraId="3A584559" w14:textId="77777777" w:rsidR="00112F64" w:rsidRPr="00112F64" w:rsidRDefault="00112F64" w:rsidP="002B358B">
      <w:pPr>
        <w:autoSpaceDE w:val="0"/>
        <w:autoSpaceDN w:val="0"/>
        <w:adjustRightInd w:val="0"/>
        <w:spacing w:line="360" w:lineRule="auto"/>
        <w:jc w:val="both"/>
        <w:rPr>
          <w:rFonts w:eastAsia="Calibri"/>
        </w:rPr>
      </w:pPr>
    </w:p>
    <w:p w14:paraId="6769448A" w14:textId="79A3EB0B" w:rsidR="00112F64" w:rsidRPr="00112F64" w:rsidRDefault="00C32311" w:rsidP="002B358B">
      <w:pPr>
        <w:autoSpaceDE w:val="0"/>
        <w:autoSpaceDN w:val="0"/>
        <w:adjustRightInd w:val="0"/>
        <w:spacing w:line="360" w:lineRule="auto"/>
        <w:jc w:val="both"/>
        <w:rPr>
          <w:rFonts w:eastAsia="Calibri"/>
        </w:rPr>
      </w:pPr>
      <w:r>
        <w:rPr>
          <w:rFonts w:eastAsia="Calibri"/>
        </w:rPr>
        <w:t>The table 4.30</w:t>
      </w:r>
      <w:r w:rsidR="00112F64" w:rsidRPr="00112F64">
        <w:rPr>
          <w:rFonts w:eastAsia="Calibri"/>
        </w:rPr>
        <w:t xml:space="preserve"> above shows that public awareness and education is the top priority with 32 responses (35.6%), followed by training of residents and business owners at 25 responses (27.8%), and emergency communication and reporting systems at 15 responses (16.7%).  Together, these three factors highlight a focus on community education, training, and effective communication as the most impactful areas for improving fire safety, while infrastructure and inter-agency coordination receive lower attention (11.1% and 4.4%, respectively).  Availability and maintenance of firefighting equipment garnered the fewest responses (4.4%), suggesting resource limitations or a comparatively lesser emphasis, whereas overall guidance points policymakers and emergency services toward prioritizing awareness, training, and communication interventions.</w:t>
      </w:r>
    </w:p>
    <w:tbl>
      <w:tblPr>
        <w:tblStyle w:val="TableGrid"/>
        <w:tblW w:w="8635" w:type="dxa"/>
        <w:tblLayout w:type="fixed"/>
        <w:tblLook w:val="0000" w:firstRow="0" w:lastRow="0" w:firstColumn="0" w:lastColumn="0" w:noHBand="0" w:noVBand="0"/>
      </w:tblPr>
      <w:tblGrid>
        <w:gridCol w:w="895"/>
        <w:gridCol w:w="2340"/>
        <w:gridCol w:w="1440"/>
        <w:gridCol w:w="1080"/>
        <w:gridCol w:w="1350"/>
        <w:gridCol w:w="1530"/>
      </w:tblGrid>
      <w:tr w:rsidR="004A3B5B" w:rsidRPr="004A3B5B" w14:paraId="71D3FA95" w14:textId="77777777" w:rsidTr="004A3B5B">
        <w:tc>
          <w:tcPr>
            <w:tcW w:w="8635" w:type="dxa"/>
            <w:gridSpan w:val="6"/>
          </w:tcPr>
          <w:p w14:paraId="4C7760D6" w14:textId="77777777" w:rsidR="00112F64" w:rsidRPr="004A3B5B" w:rsidRDefault="00112F64" w:rsidP="002B358B">
            <w:pPr>
              <w:autoSpaceDE w:val="0"/>
              <w:autoSpaceDN w:val="0"/>
              <w:adjustRightInd w:val="0"/>
              <w:spacing w:line="360" w:lineRule="auto"/>
              <w:ind w:right="60"/>
              <w:jc w:val="both"/>
              <w:rPr>
                <w:rFonts w:eastAsia="Calibri"/>
                <w:b/>
                <w:bCs/>
              </w:rPr>
            </w:pPr>
          </w:p>
          <w:p w14:paraId="1ACAD181" w14:textId="77777777" w:rsidR="00112F64" w:rsidRPr="004A3B5B" w:rsidRDefault="00112F64" w:rsidP="002B358B">
            <w:pPr>
              <w:autoSpaceDE w:val="0"/>
              <w:autoSpaceDN w:val="0"/>
              <w:adjustRightInd w:val="0"/>
              <w:spacing w:line="360" w:lineRule="auto"/>
              <w:ind w:right="60"/>
              <w:jc w:val="both"/>
              <w:rPr>
                <w:rFonts w:eastAsia="Calibri"/>
                <w:b/>
                <w:bCs/>
              </w:rPr>
            </w:pPr>
          </w:p>
        </w:tc>
      </w:tr>
      <w:tr w:rsidR="004A3B5B" w:rsidRPr="004A3B5B" w14:paraId="40734687" w14:textId="77777777" w:rsidTr="004A3B5B">
        <w:tc>
          <w:tcPr>
            <w:tcW w:w="3235" w:type="dxa"/>
            <w:gridSpan w:val="2"/>
          </w:tcPr>
          <w:p w14:paraId="6C411339" w14:textId="773974E3" w:rsidR="00112F64" w:rsidRPr="004A3B5B" w:rsidRDefault="00C32311" w:rsidP="002B358B">
            <w:pPr>
              <w:autoSpaceDE w:val="0"/>
              <w:autoSpaceDN w:val="0"/>
              <w:adjustRightInd w:val="0"/>
              <w:spacing w:line="360" w:lineRule="auto"/>
              <w:ind w:right="60"/>
              <w:jc w:val="both"/>
              <w:rPr>
                <w:rFonts w:eastAsia="Calibri"/>
                <w:b/>
                <w:bCs/>
              </w:rPr>
            </w:pPr>
            <w:bookmarkStart w:id="107" w:name="_Hlk215432572"/>
            <w:r w:rsidRPr="004A3B5B">
              <w:rPr>
                <w:rFonts w:eastAsia="Calibri"/>
                <w:b/>
                <w:bCs/>
              </w:rPr>
              <w:t>Table 4.31</w:t>
            </w:r>
          </w:p>
          <w:bookmarkEnd w:id="107"/>
          <w:p w14:paraId="178B5D88" w14:textId="77777777" w:rsidR="00112F64" w:rsidRPr="004A3B5B" w:rsidRDefault="00112F64" w:rsidP="002B358B">
            <w:pPr>
              <w:autoSpaceDE w:val="0"/>
              <w:autoSpaceDN w:val="0"/>
              <w:adjustRightInd w:val="0"/>
              <w:spacing w:line="360" w:lineRule="auto"/>
              <w:jc w:val="both"/>
              <w:rPr>
                <w:rFonts w:eastAsia="Calibri"/>
                <w:b/>
                <w:bCs/>
              </w:rPr>
            </w:pPr>
          </w:p>
        </w:tc>
        <w:tc>
          <w:tcPr>
            <w:tcW w:w="1440" w:type="dxa"/>
          </w:tcPr>
          <w:p w14:paraId="588FEC91" w14:textId="77777777" w:rsidR="00112F64" w:rsidRPr="004A3B5B" w:rsidRDefault="00112F64" w:rsidP="002B358B">
            <w:pPr>
              <w:autoSpaceDE w:val="0"/>
              <w:autoSpaceDN w:val="0"/>
              <w:adjustRightInd w:val="0"/>
              <w:spacing w:line="360" w:lineRule="auto"/>
              <w:ind w:right="60"/>
              <w:jc w:val="both"/>
              <w:rPr>
                <w:rFonts w:eastAsia="Calibri"/>
                <w:b/>
                <w:bCs/>
              </w:rPr>
            </w:pPr>
            <w:r w:rsidRPr="004A3B5B">
              <w:rPr>
                <w:rFonts w:eastAsia="Calibri"/>
                <w:b/>
                <w:bCs/>
              </w:rPr>
              <w:t>Frequency</w:t>
            </w:r>
          </w:p>
        </w:tc>
        <w:tc>
          <w:tcPr>
            <w:tcW w:w="1080" w:type="dxa"/>
          </w:tcPr>
          <w:p w14:paraId="24735F6D" w14:textId="77777777" w:rsidR="00112F64" w:rsidRPr="004A3B5B" w:rsidRDefault="00112F64" w:rsidP="002B358B">
            <w:pPr>
              <w:autoSpaceDE w:val="0"/>
              <w:autoSpaceDN w:val="0"/>
              <w:adjustRightInd w:val="0"/>
              <w:spacing w:line="360" w:lineRule="auto"/>
              <w:ind w:right="60"/>
              <w:jc w:val="both"/>
              <w:rPr>
                <w:rFonts w:eastAsia="Calibri"/>
                <w:b/>
                <w:bCs/>
              </w:rPr>
            </w:pPr>
            <w:r w:rsidRPr="004A3B5B">
              <w:rPr>
                <w:rFonts w:eastAsia="Calibri"/>
                <w:b/>
                <w:bCs/>
              </w:rPr>
              <w:t>Percent</w:t>
            </w:r>
          </w:p>
        </w:tc>
        <w:tc>
          <w:tcPr>
            <w:tcW w:w="1350" w:type="dxa"/>
          </w:tcPr>
          <w:p w14:paraId="7920AFE3" w14:textId="77777777" w:rsidR="00112F64" w:rsidRPr="004A3B5B" w:rsidRDefault="00112F64" w:rsidP="002B358B">
            <w:pPr>
              <w:autoSpaceDE w:val="0"/>
              <w:autoSpaceDN w:val="0"/>
              <w:adjustRightInd w:val="0"/>
              <w:spacing w:line="360" w:lineRule="auto"/>
              <w:ind w:right="60"/>
              <w:jc w:val="both"/>
              <w:rPr>
                <w:rFonts w:eastAsia="Calibri"/>
                <w:b/>
                <w:bCs/>
              </w:rPr>
            </w:pPr>
            <w:r w:rsidRPr="004A3B5B">
              <w:rPr>
                <w:rFonts w:eastAsia="Calibri"/>
                <w:b/>
                <w:bCs/>
              </w:rPr>
              <w:t>Valid Percent</w:t>
            </w:r>
          </w:p>
        </w:tc>
        <w:tc>
          <w:tcPr>
            <w:tcW w:w="1530" w:type="dxa"/>
          </w:tcPr>
          <w:p w14:paraId="760888C1" w14:textId="77777777" w:rsidR="00112F64" w:rsidRPr="004A3B5B" w:rsidRDefault="00112F64" w:rsidP="002B358B">
            <w:pPr>
              <w:autoSpaceDE w:val="0"/>
              <w:autoSpaceDN w:val="0"/>
              <w:adjustRightInd w:val="0"/>
              <w:spacing w:line="360" w:lineRule="auto"/>
              <w:ind w:right="60"/>
              <w:jc w:val="both"/>
              <w:rPr>
                <w:rFonts w:eastAsia="Calibri"/>
                <w:b/>
                <w:bCs/>
              </w:rPr>
            </w:pPr>
            <w:r w:rsidRPr="004A3B5B">
              <w:rPr>
                <w:rFonts w:eastAsia="Calibri"/>
                <w:b/>
                <w:bCs/>
              </w:rPr>
              <w:t>Cumulative Percent</w:t>
            </w:r>
          </w:p>
        </w:tc>
      </w:tr>
      <w:tr w:rsidR="004A3B5B" w:rsidRPr="004A3B5B" w14:paraId="63BB8D5A" w14:textId="77777777" w:rsidTr="004A3B5B">
        <w:tc>
          <w:tcPr>
            <w:tcW w:w="895" w:type="dxa"/>
            <w:vMerge w:val="restart"/>
          </w:tcPr>
          <w:p w14:paraId="216590F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340" w:type="dxa"/>
          </w:tcPr>
          <w:p w14:paraId="5077517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Fire stations and emergency numbers are easily accessible</w:t>
            </w:r>
          </w:p>
        </w:tc>
        <w:tc>
          <w:tcPr>
            <w:tcW w:w="1440" w:type="dxa"/>
          </w:tcPr>
          <w:p w14:paraId="0C7CEDC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38</w:t>
            </w:r>
          </w:p>
        </w:tc>
        <w:tc>
          <w:tcPr>
            <w:tcW w:w="1080" w:type="dxa"/>
          </w:tcPr>
          <w:p w14:paraId="2FBA402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350" w:type="dxa"/>
          </w:tcPr>
          <w:p w14:paraId="173B409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530" w:type="dxa"/>
          </w:tcPr>
          <w:p w14:paraId="57293AA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r>
      <w:tr w:rsidR="004A3B5B" w:rsidRPr="004A3B5B" w14:paraId="468749E1" w14:textId="77777777" w:rsidTr="004A3B5B">
        <w:tc>
          <w:tcPr>
            <w:tcW w:w="895" w:type="dxa"/>
            <w:vMerge/>
          </w:tcPr>
          <w:p w14:paraId="2D2AA57D" w14:textId="77777777" w:rsidR="00112F64" w:rsidRPr="004A3B5B" w:rsidRDefault="00112F64" w:rsidP="002B358B">
            <w:pPr>
              <w:autoSpaceDE w:val="0"/>
              <w:autoSpaceDN w:val="0"/>
              <w:adjustRightInd w:val="0"/>
              <w:spacing w:line="360" w:lineRule="auto"/>
              <w:jc w:val="both"/>
              <w:rPr>
                <w:rFonts w:eastAsia="Calibri"/>
              </w:rPr>
            </w:pPr>
          </w:p>
        </w:tc>
        <w:tc>
          <w:tcPr>
            <w:tcW w:w="2340" w:type="dxa"/>
          </w:tcPr>
          <w:p w14:paraId="581B868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Moderately accessible</w:t>
            </w:r>
          </w:p>
        </w:tc>
        <w:tc>
          <w:tcPr>
            <w:tcW w:w="1440" w:type="dxa"/>
          </w:tcPr>
          <w:p w14:paraId="3305966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38</w:t>
            </w:r>
          </w:p>
        </w:tc>
        <w:tc>
          <w:tcPr>
            <w:tcW w:w="1080" w:type="dxa"/>
          </w:tcPr>
          <w:p w14:paraId="7867DCA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350" w:type="dxa"/>
          </w:tcPr>
          <w:p w14:paraId="438A1BA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42.2</w:t>
            </w:r>
          </w:p>
        </w:tc>
        <w:tc>
          <w:tcPr>
            <w:tcW w:w="1530" w:type="dxa"/>
          </w:tcPr>
          <w:p w14:paraId="2454066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84.4</w:t>
            </w:r>
          </w:p>
        </w:tc>
      </w:tr>
      <w:tr w:rsidR="004A3B5B" w:rsidRPr="004A3B5B" w14:paraId="09E51AAB" w14:textId="77777777" w:rsidTr="004A3B5B">
        <w:tc>
          <w:tcPr>
            <w:tcW w:w="895" w:type="dxa"/>
            <w:vMerge/>
          </w:tcPr>
          <w:p w14:paraId="4F2A251D" w14:textId="77777777" w:rsidR="00112F64" w:rsidRPr="004A3B5B" w:rsidRDefault="00112F64" w:rsidP="002B358B">
            <w:pPr>
              <w:autoSpaceDE w:val="0"/>
              <w:autoSpaceDN w:val="0"/>
              <w:adjustRightInd w:val="0"/>
              <w:spacing w:line="360" w:lineRule="auto"/>
              <w:jc w:val="both"/>
              <w:rPr>
                <w:rFonts w:eastAsia="Calibri"/>
              </w:rPr>
            </w:pPr>
          </w:p>
        </w:tc>
        <w:tc>
          <w:tcPr>
            <w:tcW w:w="2340" w:type="dxa"/>
          </w:tcPr>
          <w:p w14:paraId="1EDEA45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Not easily accessible</w:t>
            </w:r>
          </w:p>
        </w:tc>
        <w:tc>
          <w:tcPr>
            <w:tcW w:w="1440" w:type="dxa"/>
          </w:tcPr>
          <w:p w14:paraId="5E53C9D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14</w:t>
            </w:r>
          </w:p>
        </w:tc>
        <w:tc>
          <w:tcPr>
            <w:tcW w:w="1080" w:type="dxa"/>
          </w:tcPr>
          <w:p w14:paraId="4F7413D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15.6</w:t>
            </w:r>
          </w:p>
        </w:tc>
        <w:tc>
          <w:tcPr>
            <w:tcW w:w="1350" w:type="dxa"/>
          </w:tcPr>
          <w:p w14:paraId="33297F1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15.6</w:t>
            </w:r>
          </w:p>
        </w:tc>
        <w:tc>
          <w:tcPr>
            <w:tcW w:w="1530" w:type="dxa"/>
          </w:tcPr>
          <w:p w14:paraId="59FE3FD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1D41D5E6" w14:textId="77777777" w:rsidTr="004A3B5B">
        <w:tc>
          <w:tcPr>
            <w:tcW w:w="895" w:type="dxa"/>
            <w:vMerge/>
          </w:tcPr>
          <w:p w14:paraId="353CBEA1" w14:textId="77777777" w:rsidR="00112F64" w:rsidRPr="004A3B5B" w:rsidRDefault="00112F64" w:rsidP="002B358B">
            <w:pPr>
              <w:autoSpaceDE w:val="0"/>
              <w:autoSpaceDN w:val="0"/>
              <w:adjustRightInd w:val="0"/>
              <w:spacing w:line="360" w:lineRule="auto"/>
              <w:jc w:val="both"/>
              <w:rPr>
                <w:rFonts w:eastAsia="Calibri"/>
              </w:rPr>
            </w:pPr>
          </w:p>
        </w:tc>
        <w:tc>
          <w:tcPr>
            <w:tcW w:w="2340" w:type="dxa"/>
          </w:tcPr>
          <w:p w14:paraId="7669FC4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440" w:type="dxa"/>
          </w:tcPr>
          <w:p w14:paraId="5B002F2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311E7CB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350" w:type="dxa"/>
          </w:tcPr>
          <w:p w14:paraId="79A3F24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530" w:type="dxa"/>
          </w:tcPr>
          <w:p w14:paraId="2192F15A" w14:textId="77777777" w:rsidR="00112F64" w:rsidRPr="004A3B5B" w:rsidRDefault="00112F64" w:rsidP="002B358B">
            <w:pPr>
              <w:autoSpaceDE w:val="0"/>
              <w:autoSpaceDN w:val="0"/>
              <w:adjustRightInd w:val="0"/>
              <w:spacing w:line="360" w:lineRule="auto"/>
              <w:jc w:val="both"/>
              <w:rPr>
                <w:rFonts w:eastAsia="Calibri"/>
              </w:rPr>
            </w:pPr>
          </w:p>
        </w:tc>
      </w:tr>
    </w:tbl>
    <w:p w14:paraId="01B7A7FC" w14:textId="77777777" w:rsidR="00112F64" w:rsidRPr="00112F64" w:rsidRDefault="00112F64" w:rsidP="002B358B">
      <w:pPr>
        <w:autoSpaceDE w:val="0"/>
        <w:autoSpaceDN w:val="0"/>
        <w:adjustRightInd w:val="0"/>
        <w:spacing w:line="360" w:lineRule="auto"/>
        <w:jc w:val="both"/>
        <w:rPr>
          <w:rFonts w:eastAsia="Calibri"/>
        </w:rPr>
      </w:pPr>
    </w:p>
    <w:p w14:paraId="7DB41056" w14:textId="07A1B605" w:rsidR="00112F64" w:rsidRPr="00112F64" w:rsidRDefault="00C32311" w:rsidP="002B358B">
      <w:pPr>
        <w:autoSpaceDE w:val="0"/>
        <w:autoSpaceDN w:val="0"/>
        <w:adjustRightInd w:val="0"/>
        <w:spacing w:line="360" w:lineRule="auto"/>
        <w:jc w:val="both"/>
        <w:rPr>
          <w:rFonts w:eastAsia="Calibri"/>
        </w:rPr>
      </w:pPr>
      <w:r>
        <w:rPr>
          <w:rFonts w:eastAsia="Calibri"/>
        </w:rPr>
        <w:t>Table 4.31</w:t>
      </w:r>
      <w:r w:rsidR="00112F64" w:rsidRPr="00112F64">
        <w:rPr>
          <w:rFonts w:eastAsia="Calibri"/>
        </w:rPr>
        <w:t xml:space="preserve"> above indicate accessibility of fire safety resources. Among 90 respondents, 42.2% find fire stations and emergency numbers easily accessible, another 42.2% find them moderately accessible, and 15.6% consider them not easily accessible, totalling 84.4% perceiving at least moderate accessibility. This suggests a generally positive perception of accessibility, but a notable minority still faces challenges. The findings can guide targeted improvements and resource allocation to address barriers for the 15.6% and enhance overall fire safety access.</w:t>
      </w:r>
    </w:p>
    <w:p w14:paraId="7FE3B05F" w14:textId="77777777" w:rsidR="00112F64" w:rsidRPr="00112F64" w:rsidRDefault="00112F64" w:rsidP="002B358B">
      <w:pPr>
        <w:autoSpaceDE w:val="0"/>
        <w:autoSpaceDN w:val="0"/>
        <w:adjustRightInd w:val="0"/>
        <w:spacing w:line="360" w:lineRule="auto"/>
        <w:jc w:val="both"/>
        <w:rPr>
          <w:rFonts w:eastAsia="Calibri"/>
        </w:rPr>
      </w:pPr>
    </w:p>
    <w:p w14:paraId="5CF22A77" w14:textId="18F2EE41" w:rsidR="00112F64" w:rsidRPr="004A3B5B" w:rsidRDefault="00C32311" w:rsidP="002B358B">
      <w:pPr>
        <w:autoSpaceDE w:val="0"/>
        <w:autoSpaceDN w:val="0"/>
        <w:adjustRightInd w:val="0"/>
        <w:spacing w:line="360" w:lineRule="auto"/>
        <w:jc w:val="both"/>
        <w:rPr>
          <w:rFonts w:eastAsia="Calibri"/>
          <w:b/>
          <w:bCs/>
        </w:rPr>
      </w:pPr>
      <w:r w:rsidRPr="004A3B5B">
        <w:rPr>
          <w:rFonts w:eastAsia="Calibri"/>
          <w:b/>
          <w:bCs/>
        </w:rPr>
        <w:t>Table 4.32</w:t>
      </w:r>
    </w:p>
    <w:p w14:paraId="5153FE1B"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9445" w:type="dxa"/>
        <w:tblLayout w:type="fixed"/>
        <w:tblLook w:val="0000" w:firstRow="0" w:lastRow="0" w:firstColumn="0" w:lastColumn="0" w:noHBand="0" w:noVBand="0"/>
      </w:tblPr>
      <w:tblGrid>
        <w:gridCol w:w="985"/>
        <w:gridCol w:w="2610"/>
        <w:gridCol w:w="1350"/>
        <w:gridCol w:w="1080"/>
        <w:gridCol w:w="1080"/>
        <w:gridCol w:w="2340"/>
      </w:tblGrid>
      <w:tr w:rsidR="004A3B5B" w:rsidRPr="004A3B5B" w14:paraId="540116FB" w14:textId="77777777" w:rsidTr="004A3B5B">
        <w:tc>
          <w:tcPr>
            <w:tcW w:w="9445" w:type="dxa"/>
            <w:gridSpan w:val="6"/>
          </w:tcPr>
          <w:p w14:paraId="1E483AB6" w14:textId="77777777" w:rsidR="00112F64" w:rsidRPr="004A3B5B" w:rsidRDefault="00112F64" w:rsidP="002B358B">
            <w:pPr>
              <w:autoSpaceDE w:val="0"/>
              <w:autoSpaceDN w:val="0"/>
              <w:adjustRightInd w:val="0"/>
              <w:spacing w:line="360" w:lineRule="auto"/>
              <w:ind w:right="60"/>
              <w:jc w:val="both"/>
              <w:rPr>
                <w:rFonts w:eastAsia="Calibri"/>
              </w:rPr>
            </w:pPr>
          </w:p>
        </w:tc>
      </w:tr>
      <w:tr w:rsidR="004A3B5B" w:rsidRPr="004A3B5B" w14:paraId="73A5A16F" w14:textId="77777777" w:rsidTr="004A3B5B">
        <w:tc>
          <w:tcPr>
            <w:tcW w:w="3595" w:type="dxa"/>
            <w:gridSpan w:val="2"/>
          </w:tcPr>
          <w:p w14:paraId="48DB843C"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286CBE9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80" w:type="dxa"/>
          </w:tcPr>
          <w:p w14:paraId="6ED8D46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080" w:type="dxa"/>
          </w:tcPr>
          <w:p w14:paraId="0F58CDE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2340" w:type="dxa"/>
          </w:tcPr>
          <w:p w14:paraId="5CDF0A9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69178E68" w14:textId="77777777" w:rsidTr="004A3B5B">
        <w:tc>
          <w:tcPr>
            <w:tcW w:w="985" w:type="dxa"/>
            <w:vMerge w:val="restart"/>
          </w:tcPr>
          <w:p w14:paraId="342F1F1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610" w:type="dxa"/>
          </w:tcPr>
          <w:p w14:paraId="0EC8109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Industrial firefighting programme</w:t>
            </w:r>
          </w:p>
        </w:tc>
        <w:tc>
          <w:tcPr>
            <w:tcW w:w="1350" w:type="dxa"/>
          </w:tcPr>
          <w:p w14:paraId="2C305D6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w:t>
            </w:r>
          </w:p>
        </w:tc>
        <w:tc>
          <w:tcPr>
            <w:tcW w:w="1080" w:type="dxa"/>
          </w:tcPr>
          <w:p w14:paraId="567BD9E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7.8</w:t>
            </w:r>
          </w:p>
        </w:tc>
        <w:tc>
          <w:tcPr>
            <w:tcW w:w="1080" w:type="dxa"/>
          </w:tcPr>
          <w:p w14:paraId="6863A0E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7.8</w:t>
            </w:r>
          </w:p>
        </w:tc>
        <w:tc>
          <w:tcPr>
            <w:tcW w:w="2340" w:type="dxa"/>
          </w:tcPr>
          <w:p w14:paraId="51208EE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7.8</w:t>
            </w:r>
          </w:p>
        </w:tc>
      </w:tr>
      <w:tr w:rsidR="004A3B5B" w:rsidRPr="004A3B5B" w14:paraId="7938D928" w14:textId="77777777" w:rsidTr="004A3B5B">
        <w:tc>
          <w:tcPr>
            <w:tcW w:w="985" w:type="dxa"/>
            <w:vMerge/>
          </w:tcPr>
          <w:p w14:paraId="47BF1F19" w14:textId="77777777" w:rsidR="00112F64" w:rsidRPr="004A3B5B" w:rsidRDefault="00112F64" w:rsidP="002B358B">
            <w:pPr>
              <w:autoSpaceDE w:val="0"/>
              <w:autoSpaceDN w:val="0"/>
              <w:adjustRightInd w:val="0"/>
              <w:spacing w:line="360" w:lineRule="auto"/>
              <w:jc w:val="both"/>
              <w:rPr>
                <w:rFonts w:eastAsia="Calibri"/>
              </w:rPr>
            </w:pPr>
          </w:p>
        </w:tc>
        <w:tc>
          <w:tcPr>
            <w:tcW w:w="2610" w:type="dxa"/>
          </w:tcPr>
          <w:p w14:paraId="0A18CA7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Basic fire safety programmes</w:t>
            </w:r>
          </w:p>
        </w:tc>
        <w:tc>
          <w:tcPr>
            <w:tcW w:w="1350" w:type="dxa"/>
          </w:tcPr>
          <w:p w14:paraId="741BFC8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20</w:t>
            </w:r>
          </w:p>
        </w:tc>
        <w:tc>
          <w:tcPr>
            <w:tcW w:w="1080" w:type="dxa"/>
          </w:tcPr>
          <w:p w14:paraId="70B414A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22.2</w:t>
            </w:r>
          </w:p>
        </w:tc>
        <w:tc>
          <w:tcPr>
            <w:tcW w:w="1080" w:type="dxa"/>
          </w:tcPr>
          <w:p w14:paraId="4788E7F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22.2</w:t>
            </w:r>
          </w:p>
        </w:tc>
        <w:tc>
          <w:tcPr>
            <w:tcW w:w="2340" w:type="dxa"/>
          </w:tcPr>
          <w:p w14:paraId="6A37C97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30.0</w:t>
            </w:r>
          </w:p>
        </w:tc>
      </w:tr>
      <w:tr w:rsidR="004A3B5B" w:rsidRPr="004A3B5B" w14:paraId="21DE20BA" w14:textId="77777777" w:rsidTr="004A3B5B">
        <w:tc>
          <w:tcPr>
            <w:tcW w:w="985" w:type="dxa"/>
            <w:vMerge/>
          </w:tcPr>
          <w:p w14:paraId="14EFC833" w14:textId="77777777" w:rsidR="00112F64" w:rsidRPr="004A3B5B" w:rsidRDefault="00112F64" w:rsidP="002B358B">
            <w:pPr>
              <w:autoSpaceDE w:val="0"/>
              <w:autoSpaceDN w:val="0"/>
              <w:adjustRightInd w:val="0"/>
              <w:spacing w:line="360" w:lineRule="auto"/>
              <w:jc w:val="both"/>
              <w:rPr>
                <w:rFonts w:eastAsia="Calibri"/>
              </w:rPr>
            </w:pPr>
          </w:p>
        </w:tc>
        <w:tc>
          <w:tcPr>
            <w:tcW w:w="2610" w:type="dxa"/>
          </w:tcPr>
          <w:p w14:paraId="4DDFF8F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Recruit firefighter training programme</w:t>
            </w:r>
          </w:p>
        </w:tc>
        <w:tc>
          <w:tcPr>
            <w:tcW w:w="1350" w:type="dxa"/>
          </w:tcPr>
          <w:p w14:paraId="245EC43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w:t>
            </w:r>
          </w:p>
        </w:tc>
        <w:tc>
          <w:tcPr>
            <w:tcW w:w="1080" w:type="dxa"/>
          </w:tcPr>
          <w:p w14:paraId="629968E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080" w:type="dxa"/>
          </w:tcPr>
          <w:p w14:paraId="325B909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2340" w:type="dxa"/>
          </w:tcPr>
          <w:p w14:paraId="7DC5A1D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34.4</w:t>
            </w:r>
          </w:p>
        </w:tc>
      </w:tr>
      <w:tr w:rsidR="004A3B5B" w:rsidRPr="004A3B5B" w14:paraId="3E884393" w14:textId="77777777" w:rsidTr="004A3B5B">
        <w:tc>
          <w:tcPr>
            <w:tcW w:w="985" w:type="dxa"/>
            <w:vMerge/>
          </w:tcPr>
          <w:p w14:paraId="619A49D3" w14:textId="77777777" w:rsidR="00112F64" w:rsidRPr="004A3B5B" w:rsidRDefault="00112F64" w:rsidP="002B358B">
            <w:pPr>
              <w:autoSpaceDE w:val="0"/>
              <w:autoSpaceDN w:val="0"/>
              <w:adjustRightInd w:val="0"/>
              <w:spacing w:line="360" w:lineRule="auto"/>
              <w:jc w:val="both"/>
              <w:rPr>
                <w:rFonts w:eastAsia="Calibri"/>
              </w:rPr>
            </w:pPr>
          </w:p>
        </w:tc>
        <w:tc>
          <w:tcPr>
            <w:tcW w:w="2610" w:type="dxa"/>
          </w:tcPr>
          <w:p w14:paraId="770EFDB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Fire safety awareness programmes</w:t>
            </w:r>
          </w:p>
        </w:tc>
        <w:tc>
          <w:tcPr>
            <w:tcW w:w="1350" w:type="dxa"/>
          </w:tcPr>
          <w:p w14:paraId="15283C0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25</w:t>
            </w:r>
          </w:p>
        </w:tc>
        <w:tc>
          <w:tcPr>
            <w:tcW w:w="1080" w:type="dxa"/>
          </w:tcPr>
          <w:p w14:paraId="4394D88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27.8</w:t>
            </w:r>
          </w:p>
        </w:tc>
        <w:tc>
          <w:tcPr>
            <w:tcW w:w="1080" w:type="dxa"/>
          </w:tcPr>
          <w:p w14:paraId="40446F8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27.8</w:t>
            </w:r>
          </w:p>
        </w:tc>
        <w:tc>
          <w:tcPr>
            <w:tcW w:w="2340" w:type="dxa"/>
          </w:tcPr>
          <w:p w14:paraId="1C77E49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62.2</w:t>
            </w:r>
          </w:p>
        </w:tc>
      </w:tr>
      <w:tr w:rsidR="004A3B5B" w:rsidRPr="004A3B5B" w14:paraId="6C345903" w14:textId="77777777" w:rsidTr="004A3B5B">
        <w:tc>
          <w:tcPr>
            <w:tcW w:w="985" w:type="dxa"/>
            <w:vMerge/>
          </w:tcPr>
          <w:p w14:paraId="0C954163" w14:textId="77777777" w:rsidR="00112F64" w:rsidRPr="004A3B5B" w:rsidRDefault="00112F64" w:rsidP="002B358B">
            <w:pPr>
              <w:autoSpaceDE w:val="0"/>
              <w:autoSpaceDN w:val="0"/>
              <w:adjustRightInd w:val="0"/>
              <w:spacing w:line="360" w:lineRule="auto"/>
              <w:jc w:val="both"/>
              <w:rPr>
                <w:rFonts w:eastAsia="Calibri"/>
              </w:rPr>
            </w:pPr>
          </w:p>
        </w:tc>
        <w:tc>
          <w:tcPr>
            <w:tcW w:w="2610" w:type="dxa"/>
          </w:tcPr>
          <w:p w14:paraId="54FA246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Nil</w:t>
            </w:r>
          </w:p>
        </w:tc>
        <w:tc>
          <w:tcPr>
            <w:tcW w:w="1350" w:type="dxa"/>
          </w:tcPr>
          <w:p w14:paraId="1B53F23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34</w:t>
            </w:r>
          </w:p>
        </w:tc>
        <w:tc>
          <w:tcPr>
            <w:tcW w:w="1080" w:type="dxa"/>
          </w:tcPr>
          <w:p w14:paraId="7E7FFD8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37.8</w:t>
            </w:r>
          </w:p>
        </w:tc>
        <w:tc>
          <w:tcPr>
            <w:tcW w:w="1080" w:type="dxa"/>
          </w:tcPr>
          <w:p w14:paraId="0F2ECE5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37.8</w:t>
            </w:r>
          </w:p>
        </w:tc>
        <w:tc>
          <w:tcPr>
            <w:tcW w:w="2340" w:type="dxa"/>
          </w:tcPr>
          <w:p w14:paraId="11AE711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0EC1C1A0" w14:textId="77777777" w:rsidTr="004A3B5B">
        <w:tc>
          <w:tcPr>
            <w:tcW w:w="985" w:type="dxa"/>
            <w:vMerge/>
          </w:tcPr>
          <w:p w14:paraId="2F47BF01" w14:textId="77777777" w:rsidR="00112F64" w:rsidRPr="004A3B5B" w:rsidRDefault="00112F64" w:rsidP="002B358B">
            <w:pPr>
              <w:autoSpaceDE w:val="0"/>
              <w:autoSpaceDN w:val="0"/>
              <w:adjustRightInd w:val="0"/>
              <w:spacing w:line="360" w:lineRule="auto"/>
              <w:jc w:val="both"/>
              <w:rPr>
                <w:rFonts w:eastAsia="Calibri"/>
              </w:rPr>
            </w:pPr>
          </w:p>
        </w:tc>
        <w:tc>
          <w:tcPr>
            <w:tcW w:w="2610" w:type="dxa"/>
          </w:tcPr>
          <w:p w14:paraId="6E77470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350" w:type="dxa"/>
          </w:tcPr>
          <w:p w14:paraId="70ECC43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462F4DF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080" w:type="dxa"/>
          </w:tcPr>
          <w:p w14:paraId="1FCEBF3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2340" w:type="dxa"/>
          </w:tcPr>
          <w:p w14:paraId="5989990F" w14:textId="77777777" w:rsidR="00112F64" w:rsidRPr="004A3B5B" w:rsidRDefault="00112F64" w:rsidP="002B358B">
            <w:pPr>
              <w:autoSpaceDE w:val="0"/>
              <w:autoSpaceDN w:val="0"/>
              <w:adjustRightInd w:val="0"/>
              <w:spacing w:line="360" w:lineRule="auto"/>
              <w:jc w:val="both"/>
              <w:rPr>
                <w:rFonts w:eastAsia="Calibri"/>
              </w:rPr>
            </w:pPr>
          </w:p>
        </w:tc>
      </w:tr>
    </w:tbl>
    <w:p w14:paraId="3A2DBD30" w14:textId="77777777" w:rsidR="00112F64" w:rsidRPr="00112F64" w:rsidRDefault="00112F64" w:rsidP="002B358B">
      <w:pPr>
        <w:autoSpaceDE w:val="0"/>
        <w:autoSpaceDN w:val="0"/>
        <w:adjustRightInd w:val="0"/>
        <w:spacing w:line="360" w:lineRule="auto"/>
        <w:jc w:val="both"/>
        <w:rPr>
          <w:rFonts w:eastAsia="Calibri"/>
        </w:rPr>
      </w:pPr>
    </w:p>
    <w:p w14:paraId="07BFBEC5" w14:textId="3001BC53" w:rsidR="00112F64" w:rsidRPr="00112F64" w:rsidRDefault="00C32311" w:rsidP="002B358B">
      <w:pPr>
        <w:autoSpaceDE w:val="0"/>
        <w:autoSpaceDN w:val="0"/>
        <w:adjustRightInd w:val="0"/>
        <w:spacing w:line="360" w:lineRule="auto"/>
        <w:jc w:val="both"/>
        <w:rPr>
          <w:rFonts w:eastAsia="Calibri"/>
        </w:rPr>
      </w:pPr>
      <w:r>
        <w:rPr>
          <w:rFonts w:eastAsia="Calibri"/>
        </w:rPr>
        <w:t>Table 4.32</w:t>
      </w:r>
      <w:r w:rsidR="00112F64" w:rsidRPr="00112F64">
        <w:rPr>
          <w:rFonts w:eastAsia="Calibri"/>
        </w:rPr>
        <w:t xml:space="preserve"> above </w:t>
      </w:r>
      <w:r w:rsidR="00112F64" w:rsidRPr="00112F64">
        <w:rPr>
          <w:rFonts w:eastAsia="Calibri"/>
          <w:color w:val="010205"/>
          <w:sz w:val="22"/>
          <w:szCs w:val="22"/>
        </w:rPr>
        <w:t>indicates programs of fire safety respondents have participated in or found useful.</w:t>
      </w:r>
      <w:r w:rsidR="00112F64" w:rsidRPr="00112F64">
        <w:rPr>
          <w:rFonts w:eastAsia="Calibri"/>
          <w:b/>
          <w:bCs/>
          <w:color w:val="010205"/>
          <w:sz w:val="22"/>
          <w:szCs w:val="22"/>
        </w:rPr>
        <w:t xml:space="preserve"> </w:t>
      </w:r>
      <w:r w:rsidR="00112F64" w:rsidRPr="00112F64">
        <w:rPr>
          <w:rFonts w:eastAsia="Calibri"/>
        </w:rPr>
        <w:t xml:space="preserve">The data shows that a large portion of participants (37.8%) did not participate in any fire safety programs, while the most participated programs are “Fire safety awareness programmes” (27.8%) </w:t>
      </w:r>
      <w:r w:rsidR="00112F64" w:rsidRPr="00112F64">
        <w:rPr>
          <w:rFonts w:eastAsia="Calibri"/>
        </w:rPr>
        <w:lastRenderedPageBreak/>
        <w:t>and “Basic fire safety programmes” (22.2%).  Less common offerings include “Industrial firefighting programme” (7.8%) and “Recruit firefighter training programme” (4.4%).  Overall, the high rate of “Nil” responses points to gaps in exposure and participation, suggesting a need for increased outreach, accessibility, and promotion of fire safety education to enhance awareness and preparedness.</w:t>
      </w:r>
    </w:p>
    <w:p w14:paraId="6206475C" w14:textId="77777777" w:rsidR="00112F64" w:rsidRPr="00112F64" w:rsidRDefault="00112F64" w:rsidP="002B358B">
      <w:pPr>
        <w:autoSpaceDE w:val="0"/>
        <w:autoSpaceDN w:val="0"/>
        <w:adjustRightInd w:val="0"/>
        <w:spacing w:line="360" w:lineRule="auto"/>
        <w:jc w:val="both"/>
        <w:rPr>
          <w:rFonts w:eastAsia="Calibri"/>
        </w:rPr>
      </w:pPr>
    </w:p>
    <w:p w14:paraId="25EC6C51" w14:textId="6631F70C" w:rsidR="00112F64" w:rsidRPr="004A3B5B" w:rsidRDefault="00112F64" w:rsidP="002B358B">
      <w:pPr>
        <w:autoSpaceDE w:val="0"/>
        <w:autoSpaceDN w:val="0"/>
        <w:adjustRightInd w:val="0"/>
        <w:spacing w:line="360" w:lineRule="auto"/>
        <w:jc w:val="both"/>
        <w:rPr>
          <w:rFonts w:eastAsia="Calibri"/>
          <w:b/>
          <w:bCs/>
          <w:color w:val="010205"/>
          <w:sz w:val="22"/>
          <w:szCs w:val="22"/>
        </w:rPr>
      </w:pPr>
      <w:r w:rsidRPr="004A3B5B">
        <w:rPr>
          <w:rFonts w:eastAsia="Calibri"/>
          <w:b/>
          <w:bCs/>
        </w:rPr>
        <w:t>Table 4.3</w:t>
      </w:r>
      <w:r w:rsidR="00C32311" w:rsidRPr="004A3B5B">
        <w:rPr>
          <w:rFonts w:eastAsia="Calibri"/>
          <w:b/>
          <w:bCs/>
        </w:rPr>
        <w:t>3</w:t>
      </w:r>
      <w:r w:rsidR="00240CC8" w:rsidRPr="004A3B5B">
        <w:rPr>
          <w:rFonts w:eastAsia="Calibri"/>
          <w:b/>
          <w:bCs/>
          <w:color w:val="010205"/>
          <w:sz w:val="22"/>
          <w:szCs w:val="22"/>
        </w:rPr>
        <w:t xml:space="preserve"> Fire risk in urban Harare</w:t>
      </w:r>
    </w:p>
    <w:p w14:paraId="25DF6360" w14:textId="77777777" w:rsidR="00240CC8" w:rsidRPr="00112F64" w:rsidRDefault="00240CC8" w:rsidP="002B358B">
      <w:pPr>
        <w:autoSpaceDE w:val="0"/>
        <w:autoSpaceDN w:val="0"/>
        <w:adjustRightInd w:val="0"/>
        <w:spacing w:line="360" w:lineRule="auto"/>
        <w:jc w:val="both"/>
        <w:rPr>
          <w:rFonts w:eastAsia="Calibri"/>
        </w:rPr>
      </w:pPr>
    </w:p>
    <w:tbl>
      <w:tblPr>
        <w:tblStyle w:val="TableGrid"/>
        <w:tblW w:w="8995" w:type="dxa"/>
        <w:tblLayout w:type="fixed"/>
        <w:tblLook w:val="0000" w:firstRow="0" w:lastRow="0" w:firstColumn="0" w:lastColumn="0" w:noHBand="0" w:noVBand="0"/>
      </w:tblPr>
      <w:tblGrid>
        <w:gridCol w:w="895"/>
        <w:gridCol w:w="2520"/>
        <w:gridCol w:w="1350"/>
        <w:gridCol w:w="1080"/>
        <w:gridCol w:w="1170"/>
        <w:gridCol w:w="1980"/>
      </w:tblGrid>
      <w:tr w:rsidR="004A3B5B" w:rsidRPr="004A3B5B" w14:paraId="0C9F3122" w14:textId="77777777" w:rsidTr="004A3B5B">
        <w:tc>
          <w:tcPr>
            <w:tcW w:w="3415" w:type="dxa"/>
            <w:gridSpan w:val="2"/>
          </w:tcPr>
          <w:p w14:paraId="796895B5" w14:textId="77777777" w:rsidR="00112F64" w:rsidRPr="004A3B5B" w:rsidRDefault="00112F64" w:rsidP="002B358B">
            <w:pPr>
              <w:autoSpaceDE w:val="0"/>
              <w:autoSpaceDN w:val="0"/>
              <w:adjustRightInd w:val="0"/>
              <w:spacing w:line="360" w:lineRule="auto"/>
              <w:jc w:val="both"/>
              <w:rPr>
                <w:rFonts w:eastAsia="Calibri"/>
              </w:rPr>
            </w:pPr>
          </w:p>
        </w:tc>
        <w:tc>
          <w:tcPr>
            <w:tcW w:w="1350" w:type="dxa"/>
          </w:tcPr>
          <w:p w14:paraId="3C4448A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80" w:type="dxa"/>
          </w:tcPr>
          <w:p w14:paraId="22A4DB8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170" w:type="dxa"/>
          </w:tcPr>
          <w:p w14:paraId="2985C8B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1980" w:type="dxa"/>
          </w:tcPr>
          <w:p w14:paraId="0C72010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76013F73" w14:textId="77777777" w:rsidTr="004A3B5B">
        <w:tc>
          <w:tcPr>
            <w:tcW w:w="895" w:type="dxa"/>
            <w:vMerge w:val="restart"/>
          </w:tcPr>
          <w:p w14:paraId="522C9DE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2520" w:type="dxa"/>
          </w:tcPr>
          <w:p w14:paraId="14B345E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Regular electrical safety inspections and upgrades</w:t>
            </w:r>
          </w:p>
        </w:tc>
        <w:tc>
          <w:tcPr>
            <w:tcW w:w="1350" w:type="dxa"/>
          </w:tcPr>
          <w:p w14:paraId="3C8D2FE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12</w:t>
            </w:r>
          </w:p>
        </w:tc>
        <w:tc>
          <w:tcPr>
            <w:tcW w:w="1080" w:type="dxa"/>
          </w:tcPr>
          <w:p w14:paraId="0F73258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13.3</w:t>
            </w:r>
          </w:p>
        </w:tc>
        <w:tc>
          <w:tcPr>
            <w:tcW w:w="1170" w:type="dxa"/>
          </w:tcPr>
          <w:p w14:paraId="4F7394D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13.3</w:t>
            </w:r>
          </w:p>
        </w:tc>
        <w:tc>
          <w:tcPr>
            <w:tcW w:w="1980" w:type="dxa"/>
          </w:tcPr>
          <w:p w14:paraId="2022E6E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13.3</w:t>
            </w:r>
          </w:p>
        </w:tc>
      </w:tr>
      <w:tr w:rsidR="004A3B5B" w:rsidRPr="004A3B5B" w14:paraId="10F2A31D" w14:textId="77777777" w:rsidTr="004A3B5B">
        <w:tc>
          <w:tcPr>
            <w:tcW w:w="895" w:type="dxa"/>
            <w:vMerge/>
          </w:tcPr>
          <w:p w14:paraId="28EC1192"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036ACC0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Public education on fire prevention</w:t>
            </w:r>
          </w:p>
        </w:tc>
        <w:tc>
          <w:tcPr>
            <w:tcW w:w="1350" w:type="dxa"/>
          </w:tcPr>
          <w:p w14:paraId="3321248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55</w:t>
            </w:r>
          </w:p>
        </w:tc>
        <w:tc>
          <w:tcPr>
            <w:tcW w:w="1080" w:type="dxa"/>
          </w:tcPr>
          <w:p w14:paraId="1982DA3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61.1</w:t>
            </w:r>
          </w:p>
        </w:tc>
        <w:tc>
          <w:tcPr>
            <w:tcW w:w="1170" w:type="dxa"/>
          </w:tcPr>
          <w:p w14:paraId="4BF9FF9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61.1</w:t>
            </w:r>
          </w:p>
        </w:tc>
        <w:tc>
          <w:tcPr>
            <w:tcW w:w="1980" w:type="dxa"/>
          </w:tcPr>
          <w:p w14:paraId="50CE2F1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74.4</w:t>
            </w:r>
          </w:p>
        </w:tc>
      </w:tr>
      <w:tr w:rsidR="004A3B5B" w:rsidRPr="004A3B5B" w14:paraId="5ED28515" w14:textId="77777777" w:rsidTr="004A3B5B">
        <w:tc>
          <w:tcPr>
            <w:tcW w:w="895" w:type="dxa"/>
            <w:vMerge/>
          </w:tcPr>
          <w:p w14:paraId="476843C3"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05FC5A7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Enforcing safe cooking and heating practices</w:t>
            </w:r>
          </w:p>
        </w:tc>
        <w:tc>
          <w:tcPr>
            <w:tcW w:w="1350" w:type="dxa"/>
          </w:tcPr>
          <w:p w14:paraId="3D27842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w:t>
            </w:r>
          </w:p>
        </w:tc>
        <w:tc>
          <w:tcPr>
            <w:tcW w:w="1080" w:type="dxa"/>
          </w:tcPr>
          <w:p w14:paraId="300504B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170" w:type="dxa"/>
          </w:tcPr>
          <w:p w14:paraId="4B91A2D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980" w:type="dxa"/>
          </w:tcPr>
          <w:p w14:paraId="2D20CFD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83.3</w:t>
            </w:r>
          </w:p>
        </w:tc>
      </w:tr>
      <w:tr w:rsidR="004A3B5B" w:rsidRPr="004A3B5B" w14:paraId="3BE0B982" w14:textId="77777777" w:rsidTr="004A3B5B">
        <w:tc>
          <w:tcPr>
            <w:tcW w:w="895" w:type="dxa"/>
            <w:vMerge/>
          </w:tcPr>
          <w:p w14:paraId="4D485AE2"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6BD36B4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Improved waste management and dumpsite management</w:t>
            </w:r>
          </w:p>
        </w:tc>
        <w:tc>
          <w:tcPr>
            <w:tcW w:w="1350" w:type="dxa"/>
          </w:tcPr>
          <w:p w14:paraId="28C7D1E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w:t>
            </w:r>
          </w:p>
        </w:tc>
        <w:tc>
          <w:tcPr>
            <w:tcW w:w="1080" w:type="dxa"/>
          </w:tcPr>
          <w:p w14:paraId="14CC1A2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170" w:type="dxa"/>
          </w:tcPr>
          <w:p w14:paraId="751338F4"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8.9</w:t>
            </w:r>
          </w:p>
        </w:tc>
        <w:tc>
          <w:tcPr>
            <w:tcW w:w="1980" w:type="dxa"/>
          </w:tcPr>
          <w:p w14:paraId="7D7CE81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92.2</w:t>
            </w:r>
          </w:p>
        </w:tc>
      </w:tr>
      <w:tr w:rsidR="004A3B5B" w:rsidRPr="004A3B5B" w14:paraId="2BAAE75F" w14:textId="77777777" w:rsidTr="004A3B5B">
        <w:tc>
          <w:tcPr>
            <w:tcW w:w="895" w:type="dxa"/>
            <w:vMerge/>
          </w:tcPr>
          <w:p w14:paraId="37399382"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36DCAF8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Upgrading water supply and fire hydrants</w:t>
            </w:r>
          </w:p>
        </w:tc>
        <w:tc>
          <w:tcPr>
            <w:tcW w:w="1350" w:type="dxa"/>
          </w:tcPr>
          <w:p w14:paraId="4B479F7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w:t>
            </w:r>
          </w:p>
        </w:tc>
        <w:tc>
          <w:tcPr>
            <w:tcW w:w="1080" w:type="dxa"/>
          </w:tcPr>
          <w:p w14:paraId="15BCAF7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1170" w:type="dxa"/>
          </w:tcPr>
          <w:p w14:paraId="02A4DE1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1980" w:type="dxa"/>
          </w:tcPr>
          <w:p w14:paraId="09E830F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95.6</w:t>
            </w:r>
          </w:p>
        </w:tc>
      </w:tr>
      <w:tr w:rsidR="004A3B5B" w:rsidRPr="004A3B5B" w14:paraId="7E4548B6" w14:textId="77777777" w:rsidTr="004A3B5B">
        <w:tc>
          <w:tcPr>
            <w:tcW w:w="895" w:type="dxa"/>
            <w:vMerge/>
          </w:tcPr>
          <w:p w14:paraId="567AF31B"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45CD27F7"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Better urban planning and access for emergency services</w:t>
            </w:r>
          </w:p>
        </w:tc>
        <w:tc>
          <w:tcPr>
            <w:tcW w:w="1350" w:type="dxa"/>
          </w:tcPr>
          <w:p w14:paraId="6A83061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w:t>
            </w:r>
          </w:p>
        </w:tc>
        <w:tc>
          <w:tcPr>
            <w:tcW w:w="1080" w:type="dxa"/>
          </w:tcPr>
          <w:p w14:paraId="3F8DBEF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170" w:type="dxa"/>
          </w:tcPr>
          <w:p w14:paraId="3BE46B1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4.4</w:t>
            </w:r>
          </w:p>
        </w:tc>
        <w:tc>
          <w:tcPr>
            <w:tcW w:w="1980" w:type="dxa"/>
          </w:tcPr>
          <w:p w14:paraId="44EE1FC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5EE50DA1" w14:textId="77777777" w:rsidTr="004A3B5B">
        <w:tc>
          <w:tcPr>
            <w:tcW w:w="895" w:type="dxa"/>
            <w:vMerge/>
          </w:tcPr>
          <w:p w14:paraId="43037C42" w14:textId="77777777" w:rsidR="00112F64" w:rsidRPr="004A3B5B" w:rsidRDefault="00112F64" w:rsidP="002B358B">
            <w:pPr>
              <w:autoSpaceDE w:val="0"/>
              <w:autoSpaceDN w:val="0"/>
              <w:adjustRightInd w:val="0"/>
              <w:spacing w:line="360" w:lineRule="auto"/>
              <w:jc w:val="both"/>
              <w:rPr>
                <w:rFonts w:eastAsia="Calibri"/>
              </w:rPr>
            </w:pPr>
          </w:p>
        </w:tc>
        <w:tc>
          <w:tcPr>
            <w:tcW w:w="2520" w:type="dxa"/>
          </w:tcPr>
          <w:p w14:paraId="77C2B97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350" w:type="dxa"/>
          </w:tcPr>
          <w:p w14:paraId="045284C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6CBD22C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170" w:type="dxa"/>
          </w:tcPr>
          <w:p w14:paraId="2EED287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980" w:type="dxa"/>
          </w:tcPr>
          <w:p w14:paraId="5B36C309" w14:textId="77777777" w:rsidR="00112F64" w:rsidRPr="004A3B5B" w:rsidRDefault="00112F64" w:rsidP="002B358B">
            <w:pPr>
              <w:autoSpaceDE w:val="0"/>
              <w:autoSpaceDN w:val="0"/>
              <w:adjustRightInd w:val="0"/>
              <w:spacing w:line="360" w:lineRule="auto"/>
              <w:jc w:val="both"/>
              <w:rPr>
                <w:rFonts w:eastAsia="Calibri"/>
              </w:rPr>
            </w:pPr>
          </w:p>
        </w:tc>
      </w:tr>
    </w:tbl>
    <w:p w14:paraId="1448BFC5" w14:textId="77777777" w:rsidR="00112F64" w:rsidRPr="00112F64" w:rsidRDefault="00112F64" w:rsidP="002B358B">
      <w:pPr>
        <w:autoSpaceDE w:val="0"/>
        <w:autoSpaceDN w:val="0"/>
        <w:adjustRightInd w:val="0"/>
        <w:spacing w:line="360" w:lineRule="auto"/>
        <w:jc w:val="both"/>
        <w:rPr>
          <w:rFonts w:eastAsia="Calibri"/>
        </w:rPr>
      </w:pPr>
    </w:p>
    <w:p w14:paraId="45F199B8" w14:textId="42C693BC" w:rsidR="00112F64" w:rsidRPr="00112F64" w:rsidRDefault="00C32311" w:rsidP="002B358B">
      <w:pPr>
        <w:autoSpaceDE w:val="0"/>
        <w:autoSpaceDN w:val="0"/>
        <w:adjustRightInd w:val="0"/>
        <w:spacing w:line="360" w:lineRule="auto"/>
        <w:jc w:val="both"/>
        <w:rPr>
          <w:rFonts w:eastAsia="Calibri"/>
        </w:rPr>
      </w:pPr>
      <w:r>
        <w:rPr>
          <w:rFonts w:eastAsia="Calibri"/>
        </w:rPr>
        <w:t>Table 4.33</w:t>
      </w:r>
      <w:r w:rsidR="00112F64" w:rsidRPr="00112F64">
        <w:rPr>
          <w:rFonts w:eastAsia="Calibri"/>
        </w:rPr>
        <w:t xml:space="preserve"> above highlights measures to combat fire risk in Harare. Public education on fire prevention is the most cited factor (61.1%), followed by regular electrical safety inspections/upgrades (13.3%), safe cooking/heating practices (8.9%), and improved waste </w:t>
      </w:r>
      <w:r w:rsidR="00112F64" w:rsidRPr="00112F64">
        <w:rPr>
          <w:rFonts w:eastAsia="Calibri"/>
        </w:rPr>
        <w:lastRenderedPageBreak/>
        <w:t>management (8.9%), with smaller mentions of upgrading water supply/fire hydrants (3.3%) and better urban emergency access planning (4.4%).  The data imply that raising public awareness and behaviour change is the primary strategy for reducing fire risk in urban Harare, with electrical safety and waste management as important secondary focuses due to common hazards.  A comprehensive approach is needed, combining community engagement, safety inspections, and targeted infrastructure upgrades to effectively mitigate fire hazards in the city.</w:t>
      </w:r>
    </w:p>
    <w:p w14:paraId="60A307AD" w14:textId="77777777" w:rsidR="00112F64" w:rsidRPr="00112F64" w:rsidRDefault="00112F64" w:rsidP="002B358B">
      <w:pPr>
        <w:autoSpaceDE w:val="0"/>
        <w:autoSpaceDN w:val="0"/>
        <w:adjustRightInd w:val="0"/>
        <w:spacing w:line="360" w:lineRule="auto"/>
        <w:jc w:val="both"/>
        <w:rPr>
          <w:rFonts w:eastAsia="Calibri"/>
        </w:rPr>
      </w:pPr>
    </w:p>
    <w:tbl>
      <w:tblPr>
        <w:tblStyle w:val="TableGrid"/>
        <w:tblW w:w="8005" w:type="dxa"/>
        <w:tblLayout w:type="fixed"/>
        <w:tblLook w:val="0000" w:firstRow="0" w:lastRow="0" w:firstColumn="0" w:lastColumn="0" w:noHBand="0" w:noVBand="0"/>
      </w:tblPr>
      <w:tblGrid>
        <w:gridCol w:w="985"/>
        <w:gridCol w:w="810"/>
        <w:gridCol w:w="1440"/>
        <w:gridCol w:w="1080"/>
        <w:gridCol w:w="1440"/>
        <w:gridCol w:w="2250"/>
      </w:tblGrid>
      <w:tr w:rsidR="004A3B5B" w:rsidRPr="004A3B5B" w14:paraId="30A12988" w14:textId="77777777" w:rsidTr="004A3B5B">
        <w:tc>
          <w:tcPr>
            <w:tcW w:w="8005" w:type="dxa"/>
            <w:gridSpan w:val="6"/>
          </w:tcPr>
          <w:p w14:paraId="696A5DE6" w14:textId="77777777" w:rsidR="00112F64" w:rsidRPr="004A3B5B" w:rsidRDefault="00112F64" w:rsidP="002B358B">
            <w:pPr>
              <w:autoSpaceDE w:val="0"/>
              <w:autoSpaceDN w:val="0"/>
              <w:adjustRightInd w:val="0"/>
              <w:spacing w:line="360" w:lineRule="auto"/>
              <w:ind w:right="60"/>
              <w:jc w:val="both"/>
              <w:rPr>
                <w:rFonts w:eastAsia="Calibri"/>
              </w:rPr>
            </w:pPr>
          </w:p>
        </w:tc>
      </w:tr>
      <w:tr w:rsidR="004A3B5B" w:rsidRPr="004A3B5B" w14:paraId="282AF529" w14:textId="77777777" w:rsidTr="004A3B5B">
        <w:tc>
          <w:tcPr>
            <w:tcW w:w="1795" w:type="dxa"/>
            <w:gridSpan w:val="2"/>
          </w:tcPr>
          <w:p w14:paraId="31C30C3E" w14:textId="5722C1B7" w:rsidR="00112F64" w:rsidRPr="004A3B5B" w:rsidRDefault="00112F64" w:rsidP="002B358B">
            <w:pPr>
              <w:autoSpaceDE w:val="0"/>
              <w:autoSpaceDN w:val="0"/>
              <w:adjustRightInd w:val="0"/>
              <w:spacing w:line="360" w:lineRule="auto"/>
              <w:ind w:right="60"/>
              <w:jc w:val="both"/>
              <w:rPr>
                <w:rFonts w:eastAsia="Calibri"/>
                <w:b/>
                <w:bCs/>
              </w:rPr>
            </w:pPr>
            <w:r w:rsidRPr="004A3B5B">
              <w:rPr>
                <w:rFonts w:eastAsia="Calibri"/>
                <w:b/>
                <w:bCs/>
              </w:rPr>
              <w:t>Tab</w:t>
            </w:r>
            <w:r w:rsidR="00C32311" w:rsidRPr="004A3B5B">
              <w:rPr>
                <w:rFonts w:eastAsia="Calibri"/>
                <w:b/>
                <w:bCs/>
              </w:rPr>
              <w:t>le 4.34</w:t>
            </w:r>
          </w:p>
          <w:p w14:paraId="22B96517" w14:textId="77777777" w:rsidR="00112F64" w:rsidRPr="004A3B5B" w:rsidRDefault="00112F64" w:rsidP="002B358B">
            <w:pPr>
              <w:autoSpaceDE w:val="0"/>
              <w:autoSpaceDN w:val="0"/>
              <w:adjustRightInd w:val="0"/>
              <w:spacing w:line="360" w:lineRule="auto"/>
              <w:jc w:val="both"/>
              <w:rPr>
                <w:rFonts w:eastAsia="Calibri"/>
              </w:rPr>
            </w:pPr>
          </w:p>
        </w:tc>
        <w:tc>
          <w:tcPr>
            <w:tcW w:w="1440" w:type="dxa"/>
          </w:tcPr>
          <w:p w14:paraId="3D67F08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Frequency</w:t>
            </w:r>
          </w:p>
        </w:tc>
        <w:tc>
          <w:tcPr>
            <w:tcW w:w="1080" w:type="dxa"/>
          </w:tcPr>
          <w:p w14:paraId="57836EB1"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Percent</w:t>
            </w:r>
          </w:p>
        </w:tc>
        <w:tc>
          <w:tcPr>
            <w:tcW w:w="1440" w:type="dxa"/>
          </w:tcPr>
          <w:p w14:paraId="683A5B9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 Percent</w:t>
            </w:r>
          </w:p>
        </w:tc>
        <w:tc>
          <w:tcPr>
            <w:tcW w:w="2250" w:type="dxa"/>
          </w:tcPr>
          <w:p w14:paraId="21D94B50"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Cumulative Percent</w:t>
            </w:r>
          </w:p>
        </w:tc>
      </w:tr>
      <w:tr w:rsidR="004A3B5B" w:rsidRPr="004A3B5B" w14:paraId="41F912F6" w14:textId="77777777" w:rsidTr="004A3B5B">
        <w:tc>
          <w:tcPr>
            <w:tcW w:w="985" w:type="dxa"/>
            <w:vMerge w:val="restart"/>
          </w:tcPr>
          <w:p w14:paraId="130BE91C"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Valid</w:t>
            </w:r>
          </w:p>
        </w:tc>
        <w:tc>
          <w:tcPr>
            <w:tcW w:w="810" w:type="dxa"/>
          </w:tcPr>
          <w:p w14:paraId="4AFA8806"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Yes</w:t>
            </w:r>
          </w:p>
        </w:tc>
        <w:tc>
          <w:tcPr>
            <w:tcW w:w="1440" w:type="dxa"/>
          </w:tcPr>
          <w:p w14:paraId="08413882"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87</w:t>
            </w:r>
          </w:p>
        </w:tc>
        <w:tc>
          <w:tcPr>
            <w:tcW w:w="1080" w:type="dxa"/>
          </w:tcPr>
          <w:p w14:paraId="49217D0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96.7</w:t>
            </w:r>
          </w:p>
        </w:tc>
        <w:tc>
          <w:tcPr>
            <w:tcW w:w="1440" w:type="dxa"/>
          </w:tcPr>
          <w:p w14:paraId="24C6A9B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96.7</w:t>
            </w:r>
          </w:p>
        </w:tc>
        <w:tc>
          <w:tcPr>
            <w:tcW w:w="2250" w:type="dxa"/>
          </w:tcPr>
          <w:p w14:paraId="746AD84E"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96.7</w:t>
            </w:r>
          </w:p>
        </w:tc>
      </w:tr>
      <w:tr w:rsidR="004A3B5B" w:rsidRPr="004A3B5B" w14:paraId="12A19D3C" w14:textId="77777777" w:rsidTr="004A3B5B">
        <w:tc>
          <w:tcPr>
            <w:tcW w:w="985" w:type="dxa"/>
            <w:vMerge/>
          </w:tcPr>
          <w:p w14:paraId="0B592D21" w14:textId="77777777" w:rsidR="00112F64" w:rsidRPr="004A3B5B" w:rsidRDefault="00112F64" w:rsidP="002B358B">
            <w:pPr>
              <w:autoSpaceDE w:val="0"/>
              <w:autoSpaceDN w:val="0"/>
              <w:adjustRightInd w:val="0"/>
              <w:spacing w:line="360" w:lineRule="auto"/>
              <w:jc w:val="both"/>
              <w:rPr>
                <w:rFonts w:eastAsia="Calibri"/>
              </w:rPr>
            </w:pPr>
          </w:p>
        </w:tc>
        <w:tc>
          <w:tcPr>
            <w:tcW w:w="810" w:type="dxa"/>
          </w:tcPr>
          <w:p w14:paraId="77250295"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Maybe</w:t>
            </w:r>
          </w:p>
        </w:tc>
        <w:tc>
          <w:tcPr>
            <w:tcW w:w="1440" w:type="dxa"/>
          </w:tcPr>
          <w:p w14:paraId="61E105CA"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w:t>
            </w:r>
          </w:p>
        </w:tc>
        <w:tc>
          <w:tcPr>
            <w:tcW w:w="1080" w:type="dxa"/>
          </w:tcPr>
          <w:p w14:paraId="10A7F35F"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1440" w:type="dxa"/>
          </w:tcPr>
          <w:p w14:paraId="163046F3"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3.3</w:t>
            </w:r>
          </w:p>
        </w:tc>
        <w:tc>
          <w:tcPr>
            <w:tcW w:w="2250" w:type="dxa"/>
          </w:tcPr>
          <w:p w14:paraId="551E9E0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r>
      <w:tr w:rsidR="004A3B5B" w:rsidRPr="004A3B5B" w14:paraId="69CF8779" w14:textId="77777777" w:rsidTr="004A3B5B">
        <w:tc>
          <w:tcPr>
            <w:tcW w:w="985" w:type="dxa"/>
            <w:vMerge/>
          </w:tcPr>
          <w:p w14:paraId="5D19B1BB" w14:textId="77777777" w:rsidR="00112F64" w:rsidRPr="004A3B5B" w:rsidRDefault="00112F64" w:rsidP="002B358B">
            <w:pPr>
              <w:autoSpaceDE w:val="0"/>
              <w:autoSpaceDN w:val="0"/>
              <w:adjustRightInd w:val="0"/>
              <w:spacing w:line="360" w:lineRule="auto"/>
              <w:jc w:val="both"/>
              <w:rPr>
                <w:rFonts w:eastAsia="Calibri"/>
              </w:rPr>
            </w:pPr>
          </w:p>
        </w:tc>
        <w:tc>
          <w:tcPr>
            <w:tcW w:w="810" w:type="dxa"/>
          </w:tcPr>
          <w:p w14:paraId="3DC42FD8"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Total</w:t>
            </w:r>
          </w:p>
        </w:tc>
        <w:tc>
          <w:tcPr>
            <w:tcW w:w="1440" w:type="dxa"/>
          </w:tcPr>
          <w:p w14:paraId="2A6C544D"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90</w:t>
            </w:r>
          </w:p>
        </w:tc>
        <w:tc>
          <w:tcPr>
            <w:tcW w:w="1080" w:type="dxa"/>
          </w:tcPr>
          <w:p w14:paraId="18EAD7DB"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1440" w:type="dxa"/>
          </w:tcPr>
          <w:p w14:paraId="0467A3C9" w14:textId="77777777" w:rsidR="00112F64" w:rsidRPr="004A3B5B" w:rsidRDefault="00112F64" w:rsidP="002B358B">
            <w:pPr>
              <w:autoSpaceDE w:val="0"/>
              <w:autoSpaceDN w:val="0"/>
              <w:adjustRightInd w:val="0"/>
              <w:spacing w:line="360" w:lineRule="auto"/>
              <w:ind w:right="60"/>
              <w:jc w:val="both"/>
              <w:rPr>
                <w:rFonts w:eastAsia="Calibri"/>
              </w:rPr>
            </w:pPr>
            <w:r w:rsidRPr="004A3B5B">
              <w:rPr>
                <w:rFonts w:eastAsia="Calibri"/>
              </w:rPr>
              <w:t>100.0</w:t>
            </w:r>
          </w:p>
        </w:tc>
        <w:tc>
          <w:tcPr>
            <w:tcW w:w="2250" w:type="dxa"/>
          </w:tcPr>
          <w:p w14:paraId="1703047A" w14:textId="77777777" w:rsidR="00112F64" w:rsidRPr="004A3B5B" w:rsidRDefault="00112F64" w:rsidP="002B358B">
            <w:pPr>
              <w:autoSpaceDE w:val="0"/>
              <w:autoSpaceDN w:val="0"/>
              <w:adjustRightInd w:val="0"/>
              <w:spacing w:line="360" w:lineRule="auto"/>
              <w:jc w:val="both"/>
              <w:rPr>
                <w:rFonts w:eastAsia="Calibri"/>
              </w:rPr>
            </w:pPr>
          </w:p>
        </w:tc>
      </w:tr>
    </w:tbl>
    <w:p w14:paraId="598D0DEA" w14:textId="77777777" w:rsidR="00112F64" w:rsidRPr="00112F64" w:rsidRDefault="00112F64" w:rsidP="002B358B">
      <w:pPr>
        <w:autoSpaceDE w:val="0"/>
        <w:autoSpaceDN w:val="0"/>
        <w:adjustRightInd w:val="0"/>
        <w:spacing w:line="360" w:lineRule="auto"/>
        <w:jc w:val="both"/>
        <w:rPr>
          <w:rFonts w:eastAsia="Calibri"/>
        </w:rPr>
      </w:pPr>
    </w:p>
    <w:p w14:paraId="135BA580" w14:textId="4505582A" w:rsidR="00112F64" w:rsidRPr="00112F64" w:rsidRDefault="00C32311" w:rsidP="002B358B">
      <w:pPr>
        <w:autoSpaceDE w:val="0"/>
        <w:autoSpaceDN w:val="0"/>
        <w:adjustRightInd w:val="0"/>
        <w:spacing w:line="360" w:lineRule="auto"/>
        <w:ind w:right="60"/>
        <w:jc w:val="both"/>
        <w:rPr>
          <w:rFonts w:eastAsia="Calibri"/>
          <w:color w:val="010205"/>
          <w:sz w:val="22"/>
          <w:szCs w:val="22"/>
        </w:rPr>
      </w:pPr>
      <w:r>
        <w:rPr>
          <w:rFonts w:eastAsia="Calibri"/>
          <w:color w:val="010205"/>
          <w:sz w:val="22"/>
          <w:szCs w:val="22"/>
        </w:rPr>
        <w:t>Table 4.34</w:t>
      </w:r>
      <w:r w:rsidR="00112F64" w:rsidRPr="00112F64">
        <w:rPr>
          <w:rFonts w:eastAsia="Calibri"/>
          <w:color w:val="010205"/>
          <w:sz w:val="22"/>
          <w:szCs w:val="22"/>
        </w:rPr>
        <w:t xml:space="preserve"> above shows results on would participants support the implementation of sustainable fire safety strategies if they were introduced. </w:t>
      </w:r>
      <w:r w:rsidR="00112F64" w:rsidRPr="00112F64">
        <w:rPr>
          <w:rFonts w:eastAsia="Calibri"/>
        </w:rPr>
        <w:t>The</w:t>
      </w:r>
      <w:r w:rsidR="00112F64" w:rsidRPr="00112F64">
        <w:rPr>
          <w:rFonts w:eastAsia="Calibri"/>
          <w:b/>
          <w:bCs/>
        </w:rPr>
        <w:t xml:space="preserve"> </w:t>
      </w:r>
      <w:r w:rsidR="00112F64" w:rsidRPr="00112F64">
        <w:rPr>
          <w:rFonts w:eastAsia="Calibri"/>
        </w:rPr>
        <w:t>survey shows overwhelming support for implementing sustainable fire safety strategies, with 96.7% of 90 respondents answering Yes and 3.3% saying Maybe; no one stated No. The data indicate strong endorsement overall, with only a small undecided group. To move forward, address the Maybe respondents through pilots and transparent cost-benefit analyses while highlighting long-term safety and cost savings.</w:t>
      </w:r>
    </w:p>
    <w:p w14:paraId="3DE8CAA9" w14:textId="77777777" w:rsidR="00112F64" w:rsidRPr="00112F64" w:rsidRDefault="00112F64" w:rsidP="00394501">
      <w:pPr>
        <w:pStyle w:val="Heading2"/>
      </w:pPr>
    </w:p>
    <w:p w14:paraId="26B380D9" w14:textId="55EE8091" w:rsidR="00112F64" w:rsidRPr="00112F64" w:rsidRDefault="00112F64" w:rsidP="00394501">
      <w:pPr>
        <w:pStyle w:val="Heading2"/>
      </w:pPr>
      <w:bookmarkStart w:id="108" w:name="_Toc215652931"/>
      <w:r w:rsidRPr="00112F64">
        <w:t>4.</w:t>
      </w:r>
      <w:r w:rsidR="00B560D5">
        <w:t>5</w:t>
      </w:r>
      <w:r w:rsidRPr="00112F64">
        <w:t xml:space="preserve"> Analysis of Fire Incident Tables</w:t>
      </w:r>
      <w:bookmarkEnd w:id="108"/>
    </w:p>
    <w:p w14:paraId="4F62DB4C" w14:textId="281F9E76" w:rsidR="00112F64" w:rsidRPr="00112F64" w:rsidRDefault="00112F64" w:rsidP="002B358B">
      <w:pPr>
        <w:pStyle w:val="Heading3"/>
        <w:jc w:val="both"/>
      </w:pPr>
      <w:bookmarkStart w:id="109" w:name="_Toc215652932"/>
      <w:r w:rsidRPr="00112F64">
        <w:t>4.</w:t>
      </w:r>
      <w:r w:rsidR="00B560D5">
        <w:t>5</w:t>
      </w:r>
      <w:r w:rsidRPr="00112F64">
        <w:t>.1 Incident Counts and Trends</w:t>
      </w:r>
      <w:bookmarkEnd w:id="109"/>
      <w:r w:rsidRPr="00112F64">
        <w:t xml:space="preserve"> </w:t>
      </w:r>
    </w:p>
    <w:tbl>
      <w:tblPr>
        <w:tblStyle w:val="TableGrid"/>
        <w:tblW w:w="8815" w:type="dxa"/>
        <w:tblLayout w:type="fixed"/>
        <w:tblLook w:val="0000" w:firstRow="0" w:lastRow="0" w:firstColumn="0" w:lastColumn="0" w:noHBand="0" w:noVBand="0"/>
      </w:tblPr>
      <w:tblGrid>
        <w:gridCol w:w="985"/>
        <w:gridCol w:w="1620"/>
        <w:gridCol w:w="1530"/>
        <w:gridCol w:w="1170"/>
        <w:gridCol w:w="1260"/>
        <w:gridCol w:w="2250"/>
      </w:tblGrid>
      <w:tr w:rsidR="004A3B5B" w:rsidRPr="004A3B5B" w14:paraId="246BDBD6" w14:textId="77777777" w:rsidTr="00ED0CCF">
        <w:trPr>
          <w:trHeight w:val="246"/>
        </w:trPr>
        <w:tc>
          <w:tcPr>
            <w:tcW w:w="8815" w:type="dxa"/>
            <w:gridSpan w:val="6"/>
          </w:tcPr>
          <w:p w14:paraId="1B8B86D3" w14:textId="77777777" w:rsidR="00240CC8" w:rsidRPr="004A3B5B" w:rsidRDefault="00240CC8" w:rsidP="002B358B">
            <w:pPr>
              <w:autoSpaceDE w:val="0"/>
              <w:autoSpaceDN w:val="0"/>
              <w:adjustRightInd w:val="0"/>
              <w:jc w:val="both"/>
            </w:pPr>
          </w:p>
          <w:p w14:paraId="44CDC0D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b/>
                <w:bCs/>
              </w:rPr>
              <w:t>V1</w:t>
            </w:r>
          </w:p>
        </w:tc>
      </w:tr>
      <w:tr w:rsidR="004A3B5B" w:rsidRPr="004A3B5B" w14:paraId="365C3D45" w14:textId="77777777" w:rsidTr="00ED0CCF">
        <w:trPr>
          <w:trHeight w:val="487"/>
        </w:trPr>
        <w:tc>
          <w:tcPr>
            <w:tcW w:w="2605" w:type="dxa"/>
            <w:gridSpan w:val="2"/>
          </w:tcPr>
          <w:p w14:paraId="58DD7184" w14:textId="77777777" w:rsidR="00112F64" w:rsidRPr="004A3B5B" w:rsidRDefault="00112F64" w:rsidP="002B358B">
            <w:pPr>
              <w:autoSpaceDE w:val="0"/>
              <w:autoSpaceDN w:val="0"/>
              <w:adjustRightInd w:val="0"/>
              <w:jc w:val="both"/>
            </w:pPr>
          </w:p>
        </w:tc>
        <w:tc>
          <w:tcPr>
            <w:tcW w:w="1530" w:type="dxa"/>
          </w:tcPr>
          <w:p w14:paraId="4258A773"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Frequency</w:t>
            </w:r>
          </w:p>
        </w:tc>
        <w:tc>
          <w:tcPr>
            <w:tcW w:w="1170" w:type="dxa"/>
          </w:tcPr>
          <w:p w14:paraId="5E1CC01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Percent</w:t>
            </w:r>
          </w:p>
        </w:tc>
        <w:tc>
          <w:tcPr>
            <w:tcW w:w="1260" w:type="dxa"/>
          </w:tcPr>
          <w:p w14:paraId="10021FF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Valid Percent</w:t>
            </w:r>
          </w:p>
        </w:tc>
        <w:tc>
          <w:tcPr>
            <w:tcW w:w="2250" w:type="dxa"/>
          </w:tcPr>
          <w:p w14:paraId="3C9189B2"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Cumulative Percent</w:t>
            </w:r>
          </w:p>
        </w:tc>
      </w:tr>
      <w:tr w:rsidR="004A3B5B" w:rsidRPr="004A3B5B" w14:paraId="7EACE20F" w14:textId="77777777" w:rsidTr="00ED0CCF">
        <w:trPr>
          <w:trHeight w:val="240"/>
        </w:trPr>
        <w:tc>
          <w:tcPr>
            <w:tcW w:w="985" w:type="dxa"/>
            <w:vMerge w:val="restart"/>
          </w:tcPr>
          <w:p w14:paraId="0BA73E1C"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 xml:space="preserve"> Valid</w:t>
            </w:r>
          </w:p>
        </w:tc>
        <w:tc>
          <w:tcPr>
            <w:tcW w:w="1620" w:type="dxa"/>
          </w:tcPr>
          <w:p w14:paraId="2A067AEF" w14:textId="77777777" w:rsidR="00112F64" w:rsidRPr="004A3B5B" w:rsidRDefault="00112F64" w:rsidP="002B358B">
            <w:pPr>
              <w:autoSpaceDE w:val="0"/>
              <w:autoSpaceDN w:val="0"/>
              <w:adjustRightInd w:val="0"/>
              <w:jc w:val="both"/>
            </w:pPr>
          </w:p>
        </w:tc>
        <w:tc>
          <w:tcPr>
            <w:tcW w:w="1530" w:type="dxa"/>
          </w:tcPr>
          <w:p w14:paraId="55A6F698"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014F01E9"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4F08EF3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24CD9A80"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r>
      <w:tr w:rsidR="004A3B5B" w:rsidRPr="004A3B5B" w14:paraId="4AD73A45" w14:textId="77777777" w:rsidTr="00ED0CCF">
        <w:trPr>
          <w:trHeight w:val="109"/>
        </w:trPr>
        <w:tc>
          <w:tcPr>
            <w:tcW w:w="985" w:type="dxa"/>
            <w:vMerge/>
          </w:tcPr>
          <w:p w14:paraId="4969572E" w14:textId="77777777" w:rsidR="00112F64" w:rsidRPr="004A3B5B" w:rsidRDefault="00112F64" w:rsidP="002B358B">
            <w:pPr>
              <w:autoSpaceDE w:val="0"/>
              <w:autoSpaceDN w:val="0"/>
              <w:adjustRightInd w:val="0"/>
              <w:jc w:val="both"/>
              <w:rPr>
                <w:rFonts w:ascii="Arial" w:hAnsi="Arial" w:cs="Arial"/>
              </w:rPr>
            </w:pPr>
          </w:p>
        </w:tc>
        <w:tc>
          <w:tcPr>
            <w:tcW w:w="1620" w:type="dxa"/>
          </w:tcPr>
          <w:p w14:paraId="694251C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Commercial</w:t>
            </w:r>
          </w:p>
        </w:tc>
        <w:tc>
          <w:tcPr>
            <w:tcW w:w="1530" w:type="dxa"/>
          </w:tcPr>
          <w:p w14:paraId="30475558"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3BA1F0F4"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4EA58E44"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404FA770"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18.2</w:t>
            </w:r>
          </w:p>
        </w:tc>
      </w:tr>
      <w:tr w:rsidR="004A3B5B" w:rsidRPr="004A3B5B" w14:paraId="52D66D06" w14:textId="77777777" w:rsidTr="00ED0CCF">
        <w:trPr>
          <w:trHeight w:val="109"/>
        </w:trPr>
        <w:tc>
          <w:tcPr>
            <w:tcW w:w="985" w:type="dxa"/>
            <w:vMerge/>
          </w:tcPr>
          <w:p w14:paraId="3DE346F4" w14:textId="77777777" w:rsidR="00112F64" w:rsidRPr="004A3B5B" w:rsidRDefault="00112F64" w:rsidP="002B358B">
            <w:pPr>
              <w:autoSpaceDE w:val="0"/>
              <w:autoSpaceDN w:val="0"/>
              <w:adjustRightInd w:val="0"/>
              <w:jc w:val="both"/>
              <w:rPr>
                <w:rFonts w:ascii="Arial" w:hAnsi="Arial" w:cs="Arial"/>
              </w:rPr>
            </w:pPr>
          </w:p>
        </w:tc>
        <w:tc>
          <w:tcPr>
            <w:tcW w:w="1620" w:type="dxa"/>
          </w:tcPr>
          <w:p w14:paraId="5325C8F8"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Deaths</w:t>
            </w:r>
          </w:p>
        </w:tc>
        <w:tc>
          <w:tcPr>
            <w:tcW w:w="1530" w:type="dxa"/>
          </w:tcPr>
          <w:p w14:paraId="6B9BB320"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4F33B51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0DB6B42F"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352B227A"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27.3</w:t>
            </w:r>
          </w:p>
        </w:tc>
      </w:tr>
      <w:tr w:rsidR="004A3B5B" w:rsidRPr="004A3B5B" w14:paraId="40FA914D" w14:textId="77777777" w:rsidTr="00ED0CCF">
        <w:trPr>
          <w:trHeight w:val="109"/>
        </w:trPr>
        <w:tc>
          <w:tcPr>
            <w:tcW w:w="985" w:type="dxa"/>
            <w:vMerge/>
          </w:tcPr>
          <w:p w14:paraId="07215CB2" w14:textId="77777777" w:rsidR="00112F64" w:rsidRPr="004A3B5B" w:rsidRDefault="00112F64" w:rsidP="002B358B">
            <w:pPr>
              <w:autoSpaceDE w:val="0"/>
              <w:autoSpaceDN w:val="0"/>
              <w:adjustRightInd w:val="0"/>
              <w:jc w:val="both"/>
              <w:rPr>
                <w:rFonts w:ascii="Arial" w:hAnsi="Arial" w:cs="Arial"/>
              </w:rPr>
            </w:pPr>
          </w:p>
        </w:tc>
        <w:tc>
          <w:tcPr>
            <w:tcW w:w="1620" w:type="dxa"/>
          </w:tcPr>
          <w:p w14:paraId="25EDC02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Domestic</w:t>
            </w:r>
          </w:p>
        </w:tc>
        <w:tc>
          <w:tcPr>
            <w:tcW w:w="1530" w:type="dxa"/>
          </w:tcPr>
          <w:p w14:paraId="2CF16772"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441A3AA2"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3D4837DC"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1693D90D"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36.4</w:t>
            </w:r>
          </w:p>
        </w:tc>
      </w:tr>
      <w:tr w:rsidR="004A3B5B" w:rsidRPr="004A3B5B" w14:paraId="3E1149E8" w14:textId="77777777" w:rsidTr="00ED0CCF">
        <w:trPr>
          <w:trHeight w:val="109"/>
        </w:trPr>
        <w:tc>
          <w:tcPr>
            <w:tcW w:w="985" w:type="dxa"/>
            <w:vMerge/>
          </w:tcPr>
          <w:p w14:paraId="67A51F0C" w14:textId="77777777" w:rsidR="00112F64" w:rsidRPr="004A3B5B" w:rsidRDefault="00112F64" w:rsidP="002B358B">
            <w:pPr>
              <w:autoSpaceDE w:val="0"/>
              <w:autoSpaceDN w:val="0"/>
              <w:adjustRightInd w:val="0"/>
              <w:jc w:val="both"/>
              <w:rPr>
                <w:rFonts w:ascii="Arial" w:hAnsi="Arial" w:cs="Arial"/>
              </w:rPr>
            </w:pPr>
          </w:p>
        </w:tc>
        <w:tc>
          <w:tcPr>
            <w:tcW w:w="1620" w:type="dxa"/>
          </w:tcPr>
          <w:p w14:paraId="44A4F4AA"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Grass</w:t>
            </w:r>
          </w:p>
        </w:tc>
        <w:tc>
          <w:tcPr>
            <w:tcW w:w="1530" w:type="dxa"/>
          </w:tcPr>
          <w:p w14:paraId="074AE76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5F9C9630"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153A909F"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02CAEDCC"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45.5</w:t>
            </w:r>
          </w:p>
        </w:tc>
      </w:tr>
      <w:tr w:rsidR="004A3B5B" w:rsidRPr="004A3B5B" w14:paraId="1D86D7C4" w14:textId="77777777" w:rsidTr="00ED0CCF">
        <w:trPr>
          <w:trHeight w:val="109"/>
        </w:trPr>
        <w:tc>
          <w:tcPr>
            <w:tcW w:w="985" w:type="dxa"/>
            <w:vMerge/>
          </w:tcPr>
          <w:p w14:paraId="384D15DC" w14:textId="77777777" w:rsidR="00112F64" w:rsidRPr="004A3B5B" w:rsidRDefault="00112F64" w:rsidP="002B358B">
            <w:pPr>
              <w:autoSpaceDE w:val="0"/>
              <w:autoSpaceDN w:val="0"/>
              <w:adjustRightInd w:val="0"/>
              <w:jc w:val="both"/>
              <w:rPr>
                <w:rFonts w:ascii="Arial" w:hAnsi="Arial" w:cs="Arial"/>
              </w:rPr>
            </w:pPr>
          </w:p>
        </w:tc>
        <w:tc>
          <w:tcPr>
            <w:tcW w:w="1620" w:type="dxa"/>
          </w:tcPr>
          <w:p w14:paraId="004C7BD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Home industries</w:t>
            </w:r>
          </w:p>
        </w:tc>
        <w:tc>
          <w:tcPr>
            <w:tcW w:w="1530" w:type="dxa"/>
          </w:tcPr>
          <w:p w14:paraId="113744DE"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1059ABC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5B1EC84F"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46F76FBF"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54.5</w:t>
            </w:r>
          </w:p>
        </w:tc>
      </w:tr>
      <w:tr w:rsidR="004A3B5B" w:rsidRPr="004A3B5B" w14:paraId="6D72DA52" w14:textId="77777777" w:rsidTr="00ED0CCF">
        <w:trPr>
          <w:trHeight w:val="109"/>
        </w:trPr>
        <w:tc>
          <w:tcPr>
            <w:tcW w:w="985" w:type="dxa"/>
            <w:vMerge/>
          </w:tcPr>
          <w:p w14:paraId="59104AD3" w14:textId="77777777" w:rsidR="00112F64" w:rsidRPr="004A3B5B" w:rsidRDefault="00112F64" w:rsidP="002B358B">
            <w:pPr>
              <w:autoSpaceDE w:val="0"/>
              <w:autoSpaceDN w:val="0"/>
              <w:adjustRightInd w:val="0"/>
              <w:jc w:val="both"/>
              <w:rPr>
                <w:rFonts w:ascii="Arial" w:hAnsi="Arial" w:cs="Arial"/>
              </w:rPr>
            </w:pPr>
          </w:p>
        </w:tc>
        <w:tc>
          <w:tcPr>
            <w:tcW w:w="1620" w:type="dxa"/>
          </w:tcPr>
          <w:p w14:paraId="61136B93"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Industrial</w:t>
            </w:r>
          </w:p>
        </w:tc>
        <w:tc>
          <w:tcPr>
            <w:tcW w:w="1530" w:type="dxa"/>
          </w:tcPr>
          <w:p w14:paraId="4112C7F6"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088DEEE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4811DE4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7089B1B2"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63.6</w:t>
            </w:r>
          </w:p>
        </w:tc>
      </w:tr>
      <w:tr w:rsidR="004A3B5B" w:rsidRPr="004A3B5B" w14:paraId="1A429135" w14:textId="77777777" w:rsidTr="00ED0CCF">
        <w:trPr>
          <w:trHeight w:val="109"/>
        </w:trPr>
        <w:tc>
          <w:tcPr>
            <w:tcW w:w="985" w:type="dxa"/>
            <w:vMerge/>
          </w:tcPr>
          <w:p w14:paraId="6A2E61EA" w14:textId="77777777" w:rsidR="00112F64" w:rsidRPr="004A3B5B" w:rsidRDefault="00112F64" w:rsidP="002B358B">
            <w:pPr>
              <w:autoSpaceDE w:val="0"/>
              <w:autoSpaceDN w:val="0"/>
              <w:adjustRightInd w:val="0"/>
              <w:jc w:val="both"/>
              <w:rPr>
                <w:rFonts w:ascii="Arial" w:hAnsi="Arial" w:cs="Arial"/>
              </w:rPr>
            </w:pPr>
          </w:p>
        </w:tc>
        <w:tc>
          <w:tcPr>
            <w:tcW w:w="1620" w:type="dxa"/>
          </w:tcPr>
          <w:p w14:paraId="106F3E0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Injuries</w:t>
            </w:r>
          </w:p>
        </w:tc>
        <w:tc>
          <w:tcPr>
            <w:tcW w:w="1530" w:type="dxa"/>
          </w:tcPr>
          <w:p w14:paraId="16AB5B3A"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46D77AE4"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539246D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2DB52B1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72.7</w:t>
            </w:r>
          </w:p>
        </w:tc>
      </w:tr>
      <w:tr w:rsidR="004A3B5B" w:rsidRPr="004A3B5B" w14:paraId="21C3F611" w14:textId="77777777" w:rsidTr="00ED0CCF">
        <w:trPr>
          <w:trHeight w:val="109"/>
        </w:trPr>
        <w:tc>
          <w:tcPr>
            <w:tcW w:w="985" w:type="dxa"/>
            <w:vMerge/>
          </w:tcPr>
          <w:p w14:paraId="06C96A29" w14:textId="77777777" w:rsidR="00112F64" w:rsidRPr="004A3B5B" w:rsidRDefault="00112F64" w:rsidP="002B358B">
            <w:pPr>
              <w:autoSpaceDE w:val="0"/>
              <w:autoSpaceDN w:val="0"/>
              <w:adjustRightInd w:val="0"/>
              <w:jc w:val="both"/>
              <w:rPr>
                <w:rFonts w:ascii="Arial" w:hAnsi="Arial" w:cs="Arial"/>
              </w:rPr>
            </w:pPr>
          </w:p>
        </w:tc>
        <w:tc>
          <w:tcPr>
            <w:tcW w:w="1620" w:type="dxa"/>
          </w:tcPr>
          <w:p w14:paraId="77FA5A7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Market Fires</w:t>
            </w:r>
          </w:p>
        </w:tc>
        <w:tc>
          <w:tcPr>
            <w:tcW w:w="1530" w:type="dxa"/>
          </w:tcPr>
          <w:p w14:paraId="5A6CA00E"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14450E6F"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38476788"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265B908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81.8</w:t>
            </w:r>
          </w:p>
        </w:tc>
      </w:tr>
      <w:tr w:rsidR="004A3B5B" w:rsidRPr="004A3B5B" w14:paraId="462C279E" w14:textId="77777777" w:rsidTr="00ED0CCF">
        <w:trPr>
          <w:trHeight w:val="109"/>
        </w:trPr>
        <w:tc>
          <w:tcPr>
            <w:tcW w:w="985" w:type="dxa"/>
            <w:vMerge/>
          </w:tcPr>
          <w:p w14:paraId="75C3A30B" w14:textId="77777777" w:rsidR="00112F64" w:rsidRPr="004A3B5B" w:rsidRDefault="00112F64" w:rsidP="002B358B">
            <w:pPr>
              <w:autoSpaceDE w:val="0"/>
              <w:autoSpaceDN w:val="0"/>
              <w:adjustRightInd w:val="0"/>
              <w:jc w:val="both"/>
              <w:rPr>
                <w:rFonts w:ascii="Arial" w:hAnsi="Arial" w:cs="Arial"/>
              </w:rPr>
            </w:pPr>
          </w:p>
        </w:tc>
        <w:tc>
          <w:tcPr>
            <w:tcW w:w="1620" w:type="dxa"/>
          </w:tcPr>
          <w:p w14:paraId="6D52D80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Rubbish</w:t>
            </w:r>
          </w:p>
        </w:tc>
        <w:tc>
          <w:tcPr>
            <w:tcW w:w="1530" w:type="dxa"/>
          </w:tcPr>
          <w:p w14:paraId="1E366846"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284B1647"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63A27B4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6B5F682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90.9</w:t>
            </w:r>
          </w:p>
        </w:tc>
      </w:tr>
      <w:tr w:rsidR="004A3B5B" w:rsidRPr="004A3B5B" w14:paraId="3607E48D" w14:textId="77777777" w:rsidTr="00ED0CCF">
        <w:trPr>
          <w:trHeight w:val="109"/>
        </w:trPr>
        <w:tc>
          <w:tcPr>
            <w:tcW w:w="985" w:type="dxa"/>
            <w:vMerge/>
          </w:tcPr>
          <w:p w14:paraId="26F8A4C1" w14:textId="77777777" w:rsidR="00112F64" w:rsidRPr="004A3B5B" w:rsidRDefault="00112F64" w:rsidP="002B358B">
            <w:pPr>
              <w:autoSpaceDE w:val="0"/>
              <w:autoSpaceDN w:val="0"/>
              <w:adjustRightInd w:val="0"/>
              <w:jc w:val="both"/>
              <w:rPr>
                <w:rFonts w:ascii="Arial" w:hAnsi="Arial" w:cs="Arial"/>
              </w:rPr>
            </w:pPr>
          </w:p>
        </w:tc>
        <w:tc>
          <w:tcPr>
            <w:tcW w:w="1620" w:type="dxa"/>
          </w:tcPr>
          <w:p w14:paraId="2BD5371D"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Total</w:t>
            </w:r>
          </w:p>
        </w:tc>
        <w:tc>
          <w:tcPr>
            <w:tcW w:w="1530" w:type="dxa"/>
          </w:tcPr>
          <w:p w14:paraId="2DB01373"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w:t>
            </w:r>
          </w:p>
        </w:tc>
        <w:tc>
          <w:tcPr>
            <w:tcW w:w="1170" w:type="dxa"/>
          </w:tcPr>
          <w:p w14:paraId="56E6FA4B"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1260" w:type="dxa"/>
          </w:tcPr>
          <w:p w14:paraId="761CEF14"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9.1</w:t>
            </w:r>
          </w:p>
        </w:tc>
        <w:tc>
          <w:tcPr>
            <w:tcW w:w="2250" w:type="dxa"/>
          </w:tcPr>
          <w:p w14:paraId="4F0CB851"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100.0</w:t>
            </w:r>
          </w:p>
        </w:tc>
      </w:tr>
      <w:tr w:rsidR="004A3B5B" w:rsidRPr="004A3B5B" w14:paraId="09E2744D" w14:textId="77777777" w:rsidTr="00ED0CCF">
        <w:trPr>
          <w:trHeight w:val="109"/>
        </w:trPr>
        <w:tc>
          <w:tcPr>
            <w:tcW w:w="985" w:type="dxa"/>
            <w:vMerge/>
          </w:tcPr>
          <w:p w14:paraId="67D7C8FE" w14:textId="77777777" w:rsidR="00112F64" w:rsidRPr="004A3B5B" w:rsidRDefault="00112F64" w:rsidP="002B358B">
            <w:pPr>
              <w:autoSpaceDE w:val="0"/>
              <w:autoSpaceDN w:val="0"/>
              <w:adjustRightInd w:val="0"/>
              <w:jc w:val="both"/>
              <w:rPr>
                <w:rFonts w:ascii="Arial" w:hAnsi="Arial" w:cs="Arial"/>
              </w:rPr>
            </w:pPr>
          </w:p>
        </w:tc>
        <w:tc>
          <w:tcPr>
            <w:tcW w:w="1620" w:type="dxa"/>
          </w:tcPr>
          <w:p w14:paraId="5C4694F5"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Total</w:t>
            </w:r>
          </w:p>
        </w:tc>
        <w:tc>
          <w:tcPr>
            <w:tcW w:w="1530" w:type="dxa"/>
          </w:tcPr>
          <w:p w14:paraId="1ACD6F4C"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11</w:t>
            </w:r>
          </w:p>
        </w:tc>
        <w:tc>
          <w:tcPr>
            <w:tcW w:w="1170" w:type="dxa"/>
          </w:tcPr>
          <w:p w14:paraId="5633667D"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100.0</w:t>
            </w:r>
          </w:p>
        </w:tc>
        <w:tc>
          <w:tcPr>
            <w:tcW w:w="1260" w:type="dxa"/>
          </w:tcPr>
          <w:p w14:paraId="0CEFA5E0" w14:textId="77777777" w:rsidR="00112F64" w:rsidRPr="004A3B5B" w:rsidRDefault="00112F64" w:rsidP="002B358B">
            <w:pPr>
              <w:autoSpaceDE w:val="0"/>
              <w:autoSpaceDN w:val="0"/>
              <w:adjustRightInd w:val="0"/>
              <w:spacing w:line="320" w:lineRule="atLeast"/>
              <w:ind w:left="60" w:right="60"/>
              <w:jc w:val="both"/>
              <w:rPr>
                <w:rFonts w:ascii="Arial" w:hAnsi="Arial" w:cs="Arial"/>
              </w:rPr>
            </w:pPr>
            <w:r w:rsidRPr="004A3B5B">
              <w:rPr>
                <w:rFonts w:ascii="Arial" w:hAnsi="Arial" w:cs="Arial"/>
              </w:rPr>
              <w:t>100.0</w:t>
            </w:r>
          </w:p>
        </w:tc>
        <w:tc>
          <w:tcPr>
            <w:tcW w:w="2250" w:type="dxa"/>
          </w:tcPr>
          <w:p w14:paraId="60BB3B65" w14:textId="77777777" w:rsidR="00112F64" w:rsidRPr="004A3B5B" w:rsidRDefault="00112F64" w:rsidP="002B358B">
            <w:pPr>
              <w:autoSpaceDE w:val="0"/>
              <w:autoSpaceDN w:val="0"/>
              <w:adjustRightInd w:val="0"/>
              <w:jc w:val="both"/>
            </w:pPr>
          </w:p>
        </w:tc>
      </w:tr>
    </w:tbl>
    <w:p w14:paraId="001DF5F8" w14:textId="77777777" w:rsidR="00112F64" w:rsidRPr="00112F64" w:rsidRDefault="00112F64" w:rsidP="002B358B">
      <w:pPr>
        <w:spacing w:line="360" w:lineRule="auto"/>
        <w:jc w:val="both"/>
        <w:rPr>
          <w:color w:val="000000" w:themeColor="text1"/>
        </w:rPr>
      </w:pPr>
    </w:p>
    <w:p w14:paraId="1871DA9A" w14:textId="77777777" w:rsidR="00112F64" w:rsidRPr="00112F64" w:rsidRDefault="00112F64" w:rsidP="002B358B">
      <w:pPr>
        <w:spacing w:line="360" w:lineRule="auto"/>
        <w:jc w:val="both"/>
        <w:rPr>
          <w:color w:val="000000" w:themeColor="text1"/>
        </w:rPr>
      </w:pPr>
      <w:r w:rsidRPr="00112F64">
        <w:rPr>
          <w:color w:val="000000" w:themeColor="text1"/>
        </w:rPr>
        <w:t>The table presents a frequency distribution of various categories, each with a count of 1, representing 9.1% of the total. The “Valid Percent” column confirms that each category accounts for 9.1% of the valid responses, and the “Cumulative Percent” shows the running total as categories are added. Since each category has an equal frequency, the total number of responses is 11 (each with a count of 1). The cumulative percentages increase by 9.1% with each category, reaching 100% at the end, indicating that all responses are accounted for. The categories listed include general and specific topics such as “Commercial,” “Deaths,” “Domestic,” “Grass,” “Home industries,” “Industrial,” “Injuries,” “Market Fires,” “Rubbish,” and “Valid,” along with a total. This distribution suggests a uniform distribution across categories, with each category equally represented. The table helps visualize how responses are spread across different categories, and the equal counts imply no category dominates the responses. Understanding this distribution is useful for analyzing the diversity or focus areas within the data set. Overall, the table provides a clear snapshot of the frequency and percentage distribution of responses across multiple categories, with each category equally represented at 9.1%.</w:t>
      </w:r>
    </w:p>
    <w:p w14:paraId="62DBFF91" w14:textId="77777777" w:rsidR="00112F64" w:rsidRPr="00112F64" w:rsidRDefault="00112F64" w:rsidP="002B358B">
      <w:pPr>
        <w:spacing w:line="360" w:lineRule="auto"/>
        <w:jc w:val="both"/>
        <w:rPr>
          <w:color w:val="000000" w:themeColor="text1"/>
        </w:rPr>
      </w:pPr>
    </w:p>
    <w:p w14:paraId="2CE839AC" w14:textId="32BB430C" w:rsidR="00112F64" w:rsidRPr="00112F64" w:rsidRDefault="00112F64" w:rsidP="002B358B">
      <w:pPr>
        <w:pStyle w:val="Heading3"/>
        <w:jc w:val="both"/>
      </w:pPr>
      <w:bookmarkStart w:id="110" w:name="_Toc215652933"/>
      <w:r w:rsidRPr="00112F64">
        <w:t>4.</w:t>
      </w:r>
      <w:r w:rsidR="00B560D5">
        <w:t>5</w:t>
      </w:r>
      <w:r w:rsidRPr="00112F64">
        <w:t>.2 Losses and Impacts</w:t>
      </w:r>
      <w:bookmarkEnd w:id="110"/>
    </w:p>
    <w:p w14:paraId="63F938EC" w14:textId="77777777" w:rsidR="00112F64" w:rsidRPr="00112F64" w:rsidRDefault="00112F64">
      <w:pPr>
        <w:numPr>
          <w:ilvl w:val="0"/>
          <w:numId w:val="19"/>
        </w:numPr>
        <w:spacing w:line="360" w:lineRule="auto"/>
        <w:contextualSpacing/>
        <w:jc w:val="both"/>
        <w:rPr>
          <w:b/>
          <w:bCs/>
        </w:rPr>
      </w:pPr>
      <w:r w:rsidRPr="00112F64">
        <w:rPr>
          <w:b/>
          <w:bCs/>
        </w:rPr>
        <w:t>Human impacts: injuries, fatalities</w:t>
      </w:r>
    </w:p>
    <w:p w14:paraId="38AC7E49" w14:textId="2BB7DFA9" w:rsidR="00240CC8" w:rsidRPr="007543E4" w:rsidRDefault="007543E4" w:rsidP="002B358B">
      <w:pPr>
        <w:pStyle w:val="Heading3"/>
        <w:jc w:val="both"/>
      </w:pPr>
      <w:bookmarkStart w:id="111" w:name="_Toc215652934"/>
      <w:r w:rsidRPr="007543E4">
        <w:t>4.</w:t>
      </w:r>
      <w:r w:rsidR="00B560D5">
        <w:t>5</w:t>
      </w:r>
      <w:r w:rsidR="00240CC8" w:rsidRPr="007543E4">
        <w:t>.1 Incident Counts and Trends</w:t>
      </w:r>
      <w:bookmarkEnd w:id="111"/>
      <w:r w:rsidR="00240CC8" w:rsidRPr="007543E4">
        <w:t xml:space="preserve"> </w:t>
      </w:r>
    </w:p>
    <w:tbl>
      <w:tblPr>
        <w:tblW w:w="5414" w:type="dxa"/>
        <w:tblInd w:w="-142" w:type="dxa"/>
        <w:tblLayout w:type="fixed"/>
        <w:tblCellMar>
          <w:left w:w="0" w:type="dxa"/>
          <w:right w:w="0" w:type="dxa"/>
        </w:tblCellMar>
        <w:tblLook w:val="0000" w:firstRow="0" w:lastRow="0" w:firstColumn="0" w:lastColumn="0" w:noHBand="0" w:noVBand="0"/>
      </w:tblPr>
      <w:tblGrid>
        <w:gridCol w:w="5414"/>
      </w:tblGrid>
      <w:tr w:rsidR="00240CC8" w:rsidRPr="00112F64" w14:paraId="1EE2BFDF" w14:textId="77777777" w:rsidTr="005C1C7A">
        <w:trPr>
          <w:cantSplit/>
          <w:trHeight w:val="246"/>
        </w:trPr>
        <w:tc>
          <w:tcPr>
            <w:tcW w:w="5414" w:type="dxa"/>
            <w:tcBorders>
              <w:top w:val="nil"/>
              <w:left w:val="nil"/>
              <w:bottom w:val="nil"/>
              <w:right w:val="nil"/>
            </w:tcBorders>
            <w:shd w:val="clear" w:color="auto" w:fill="FFFFFF"/>
            <w:vAlign w:val="center"/>
          </w:tcPr>
          <w:p w14:paraId="1B2E761B" w14:textId="77777777" w:rsidR="00240CC8" w:rsidRPr="00ED0CCF" w:rsidRDefault="00240CC8" w:rsidP="002B358B">
            <w:pPr>
              <w:autoSpaceDE w:val="0"/>
              <w:autoSpaceDN w:val="0"/>
              <w:adjustRightInd w:val="0"/>
              <w:jc w:val="both"/>
              <w:rPr>
                <w:b/>
                <w:bCs/>
              </w:rPr>
            </w:pPr>
          </w:p>
          <w:p w14:paraId="6075B662" w14:textId="32C502CF" w:rsidR="00240CC8" w:rsidRPr="00ED0CCF" w:rsidRDefault="007543E4" w:rsidP="002B358B">
            <w:pPr>
              <w:autoSpaceDE w:val="0"/>
              <w:autoSpaceDN w:val="0"/>
              <w:adjustRightInd w:val="0"/>
              <w:spacing w:line="320" w:lineRule="atLeast"/>
              <w:ind w:left="60" w:right="60"/>
              <w:jc w:val="both"/>
              <w:rPr>
                <w:rFonts w:ascii="Arial" w:hAnsi="Arial" w:cs="Arial"/>
                <w:b/>
                <w:bCs/>
                <w:color w:val="010205"/>
                <w:sz w:val="22"/>
                <w:szCs w:val="22"/>
              </w:rPr>
            </w:pPr>
            <w:r w:rsidRPr="00ED0CCF">
              <w:rPr>
                <w:b/>
                <w:bCs/>
                <w:color w:val="000000" w:themeColor="text1"/>
              </w:rPr>
              <w:t xml:space="preserve">Table 4.36 </w:t>
            </w:r>
            <w:r w:rsidRPr="00ED0CCF">
              <w:rPr>
                <w:b/>
                <w:bCs/>
              </w:rPr>
              <w:t>Human impacts: injuries, fatalities</w:t>
            </w:r>
          </w:p>
        </w:tc>
      </w:tr>
    </w:tbl>
    <w:p w14:paraId="76DA1E9F" w14:textId="77777777" w:rsidR="00206789" w:rsidRPr="00112F64" w:rsidRDefault="00206789" w:rsidP="002B358B">
      <w:pPr>
        <w:spacing w:line="360" w:lineRule="auto"/>
        <w:ind w:left="360"/>
        <w:contextualSpacing/>
        <w:jc w:val="both"/>
        <w:rPr>
          <w:b/>
          <w:bCs/>
        </w:rPr>
      </w:pPr>
    </w:p>
    <w:p w14:paraId="6B09B3D6" w14:textId="63A61E02" w:rsidR="00112F64" w:rsidRPr="00112F64" w:rsidRDefault="00112F64" w:rsidP="002B358B">
      <w:pPr>
        <w:spacing w:line="360" w:lineRule="auto"/>
        <w:jc w:val="both"/>
        <w:rPr>
          <w:color w:val="000000" w:themeColor="text1"/>
        </w:rPr>
      </w:pPr>
    </w:p>
    <w:tbl>
      <w:tblPr>
        <w:tblStyle w:val="TableGrid"/>
        <w:tblW w:w="9493" w:type="dxa"/>
        <w:tblLook w:val="04A0" w:firstRow="1" w:lastRow="0" w:firstColumn="1" w:lastColumn="0" w:noHBand="0" w:noVBand="1"/>
      </w:tblPr>
      <w:tblGrid>
        <w:gridCol w:w="1345"/>
        <w:gridCol w:w="727"/>
        <w:gridCol w:w="727"/>
        <w:gridCol w:w="727"/>
        <w:gridCol w:w="728"/>
        <w:gridCol w:w="728"/>
        <w:gridCol w:w="728"/>
        <w:gridCol w:w="728"/>
        <w:gridCol w:w="728"/>
        <w:gridCol w:w="728"/>
        <w:gridCol w:w="728"/>
        <w:gridCol w:w="871"/>
      </w:tblGrid>
      <w:tr w:rsidR="00112F64" w:rsidRPr="00112F64" w14:paraId="59EDF6DF" w14:textId="77777777" w:rsidTr="0047623E">
        <w:trPr>
          <w:trHeight w:val="290"/>
        </w:trPr>
        <w:tc>
          <w:tcPr>
            <w:tcW w:w="1345" w:type="dxa"/>
            <w:noWrap/>
            <w:hideMark/>
          </w:tcPr>
          <w:p w14:paraId="6E450D7A" w14:textId="77777777" w:rsidR="00112F64" w:rsidRPr="00112F64" w:rsidRDefault="00112F64" w:rsidP="002B358B">
            <w:pPr>
              <w:spacing w:line="360" w:lineRule="auto"/>
              <w:jc w:val="both"/>
              <w:rPr>
                <w:color w:val="000000" w:themeColor="text1"/>
              </w:rPr>
            </w:pPr>
          </w:p>
        </w:tc>
        <w:tc>
          <w:tcPr>
            <w:tcW w:w="727" w:type="dxa"/>
            <w:noWrap/>
            <w:hideMark/>
          </w:tcPr>
          <w:p w14:paraId="6A230185" w14:textId="77777777" w:rsidR="00112F64" w:rsidRPr="00112F64" w:rsidRDefault="00112F64" w:rsidP="002B358B">
            <w:pPr>
              <w:spacing w:line="360" w:lineRule="auto"/>
              <w:jc w:val="both"/>
              <w:rPr>
                <w:b/>
                <w:bCs/>
                <w:color w:val="000000" w:themeColor="text1"/>
              </w:rPr>
            </w:pPr>
            <w:r w:rsidRPr="00112F64">
              <w:rPr>
                <w:b/>
                <w:bCs/>
                <w:color w:val="000000" w:themeColor="text1"/>
              </w:rPr>
              <w:t>2015</w:t>
            </w:r>
          </w:p>
        </w:tc>
        <w:tc>
          <w:tcPr>
            <w:tcW w:w="727" w:type="dxa"/>
            <w:noWrap/>
            <w:hideMark/>
          </w:tcPr>
          <w:p w14:paraId="5BFE436D" w14:textId="77777777" w:rsidR="00112F64" w:rsidRPr="00112F64" w:rsidRDefault="00112F64" w:rsidP="002B358B">
            <w:pPr>
              <w:spacing w:line="360" w:lineRule="auto"/>
              <w:jc w:val="both"/>
              <w:rPr>
                <w:b/>
                <w:bCs/>
                <w:color w:val="000000" w:themeColor="text1"/>
              </w:rPr>
            </w:pPr>
            <w:r w:rsidRPr="00112F64">
              <w:rPr>
                <w:b/>
                <w:bCs/>
                <w:color w:val="000000" w:themeColor="text1"/>
              </w:rPr>
              <w:t>2016</w:t>
            </w:r>
          </w:p>
        </w:tc>
        <w:tc>
          <w:tcPr>
            <w:tcW w:w="727" w:type="dxa"/>
            <w:noWrap/>
            <w:hideMark/>
          </w:tcPr>
          <w:p w14:paraId="446D8CF5" w14:textId="77777777" w:rsidR="00112F64" w:rsidRPr="00112F64" w:rsidRDefault="00112F64" w:rsidP="002B358B">
            <w:pPr>
              <w:spacing w:line="360" w:lineRule="auto"/>
              <w:jc w:val="both"/>
              <w:rPr>
                <w:b/>
                <w:bCs/>
                <w:color w:val="000000" w:themeColor="text1"/>
              </w:rPr>
            </w:pPr>
            <w:r w:rsidRPr="00112F64">
              <w:rPr>
                <w:b/>
                <w:bCs/>
                <w:color w:val="000000" w:themeColor="text1"/>
              </w:rPr>
              <w:t>2017</w:t>
            </w:r>
          </w:p>
        </w:tc>
        <w:tc>
          <w:tcPr>
            <w:tcW w:w="728" w:type="dxa"/>
            <w:noWrap/>
            <w:hideMark/>
          </w:tcPr>
          <w:p w14:paraId="39C55D1C" w14:textId="77777777" w:rsidR="00112F64" w:rsidRPr="00112F64" w:rsidRDefault="00112F64" w:rsidP="002B358B">
            <w:pPr>
              <w:spacing w:line="360" w:lineRule="auto"/>
              <w:jc w:val="both"/>
              <w:rPr>
                <w:b/>
                <w:bCs/>
                <w:color w:val="000000" w:themeColor="text1"/>
              </w:rPr>
            </w:pPr>
            <w:r w:rsidRPr="00112F64">
              <w:rPr>
                <w:b/>
                <w:bCs/>
                <w:color w:val="000000" w:themeColor="text1"/>
              </w:rPr>
              <w:t>2018</w:t>
            </w:r>
          </w:p>
        </w:tc>
        <w:tc>
          <w:tcPr>
            <w:tcW w:w="728" w:type="dxa"/>
            <w:noWrap/>
            <w:hideMark/>
          </w:tcPr>
          <w:p w14:paraId="6391C74C" w14:textId="77777777" w:rsidR="00112F64" w:rsidRPr="00112F64" w:rsidRDefault="00112F64" w:rsidP="002B358B">
            <w:pPr>
              <w:spacing w:line="360" w:lineRule="auto"/>
              <w:jc w:val="both"/>
              <w:rPr>
                <w:b/>
                <w:bCs/>
                <w:color w:val="000000" w:themeColor="text1"/>
              </w:rPr>
            </w:pPr>
            <w:r w:rsidRPr="00112F64">
              <w:rPr>
                <w:b/>
                <w:bCs/>
                <w:color w:val="000000" w:themeColor="text1"/>
              </w:rPr>
              <w:t>2019</w:t>
            </w:r>
          </w:p>
        </w:tc>
        <w:tc>
          <w:tcPr>
            <w:tcW w:w="728" w:type="dxa"/>
            <w:noWrap/>
            <w:hideMark/>
          </w:tcPr>
          <w:p w14:paraId="6A979D6D" w14:textId="77777777" w:rsidR="00112F64" w:rsidRPr="00112F64" w:rsidRDefault="00112F64" w:rsidP="002B358B">
            <w:pPr>
              <w:spacing w:line="360" w:lineRule="auto"/>
              <w:jc w:val="both"/>
              <w:rPr>
                <w:b/>
                <w:bCs/>
                <w:color w:val="000000" w:themeColor="text1"/>
              </w:rPr>
            </w:pPr>
            <w:r w:rsidRPr="00112F64">
              <w:rPr>
                <w:b/>
                <w:bCs/>
                <w:color w:val="000000" w:themeColor="text1"/>
              </w:rPr>
              <w:t>2020</w:t>
            </w:r>
          </w:p>
        </w:tc>
        <w:tc>
          <w:tcPr>
            <w:tcW w:w="728" w:type="dxa"/>
            <w:noWrap/>
            <w:hideMark/>
          </w:tcPr>
          <w:p w14:paraId="557F513D" w14:textId="77777777" w:rsidR="00112F64" w:rsidRPr="00112F64" w:rsidRDefault="00112F64" w:rsidP="002B358B">
            <w:pPr>
              <w:spacing w:line="360" w:lineRule="auto"/>
              <w:jc w:val="both"/>
              <w:rPr>
                <w:b/>
                <w:bCs/>
                <w:color w:val="000000" w:themeColor="text1"/>
              </w:rPr>
            </w:pPr>
            <w:r w:rsidRPr="00112F64">
              <w:rPr>
                <w:b/>
                <w:bCs/>
                <w:color w:val="000000" w:themeColor="text1"/>
              </w:rPr>
              <w:t>2021</w:t>
            </w:r>
          </w:p>
        </w:tc>
        <w:tc>
          <w:tcPr>
            <w:tcW w:w="728" w:type="dxa"/>
            <w:noWrap/>
            <w:hideMark/>
          </w:tcPr>
          <w:p w14:paraId="105C678E" w14:textId="77777777" w:rsidR="00112F64" w:rsidRPr="00112F64" w:rsidRDefault="00112F64" w:rsidP="002B358B">
            <w:pPr>
              <w:spacing w:line="360" w:lineRule="auto"/>
              <w:jc w:val="both"/>
              <w:rPr>
                <w:b/>
                <w:bCs/>
                <w:color w:val="000000" w:themeColor="text1"/>
              </w:rPr>
            </w:pPr>
            <w:r w:rsidRPr="00112F64">
              <w:rPr>
                <w:b/>
                <w:bCs/>
                <w:color w:val="000000" w:themeColor="text1"/>
              </w:rPr>
              <w:t>2022</w:t>
            </w:r>
          </w:p>
        </w:tc>
        <w:tc>
          <w:tcPr>
            <w:tcW w:w="728" w:type="dxa"/>
            <w:noWrap/>
            <w:hideMark/>
          </w:tcPr>
          <w:p w14:paraId="43FD769F" w14:textId="77777777" w:rsidR="00112F64" w:rsidRPr="00112F64" w:rsidRDefault="00112F64" w:rsidP="002B358B">
            <w:pPr>
              <w:spacing w:line="360" w:lineRule="auto"/>
              <w:jc w:val="both"/>
              <w:rPr>
                <w:b/>
                <w:bCs/>
                <w:color w:val="000000" w:themeColor="text1"/>
              </w:rPr>
            </w:pPr>
            <w:r w:rsidRPr="00112F64">
              <w:rPr>
                <w:b/>
                <w:bCs/>
                <w:color w:val="000000" w:themeColor="text1"/>
              </w:rPr>
              <w:t>2023</w:t>
            </w:r>
          </w:p>
        </w:tc>
        <w:tc>
          <w:tcPr>
            <w:tcW w:w="728" w:type="dxa"/>
            <w:noWrap/>
            <w:hideMark/>
          </w:tcPr>
          <w:p w14:paraId="6DBC88E7" w14:textId="77777777" w:rsidR="00112F64" w:rsidRPr="00112F64" w:rsidRDefault="00112F64" w:rsidP="002B358B">
            <w:pPr>
              <w:spacing w:line="360" w:lineRule="auto"/>
              <w:jc w:val="both"/>
              <w:rPr>
                <w:b/>
                <w:bCs/>
                <w:color w:val="000000" w:themeColor="text1"/>
              </w:rPr>
            </w:pPr>
            <w:r w:rsidRPr="00112F64">
              <w:rPr>
                <w:b/>
                <w:bCs/>
                <w:color w:val="000000" w:themeColor="text1"/>
              </w:rPr>
              <w:t>2024</w:t>
            </w:r>
          </w:p>
        </w:tc>
        <w:tc>
          <w:tcPr>
            <w:tcW w:w="871" w:type="dxa"/>
            <w:noWrap/>
            <w:hideMark/>
          </w:tcPr>
          <w:p w14:paraId="74DCE945" w14:textId="77777777" w:rsidR="00112F64" w:rsidRPr="00112F64" w:rsidRDefault="00112F64" w:rsidP="002B358B">
            <w:pPr>
              <w:spacing w:line="360" w:lineRule="auto"/>
              <w:jc w:val="both"/>
              <w:rPr>
                <w:b/>
                <w:bCs/>
                <w:color w:val="000000" w:themeColor="text1"/>
              </w:rPr>
            </w:pPr>
            <w:r w:rsidRPr="00112F64">
              <w:rPr>
                <w:b/>
                <w:bCs/>
                <w:color w:val="000000" w:themeColor="text1"/>
              </w:rPr>
              <w:t>Total</w:t>
            </w:r>
          </w:p>
        </w:tc>
      </w:tr>
      <w:tr w:rsidR="00112F64" w:rsidRPr="00112F64" w14:paraId="63C13000" w14:textId="77777777" w:rsidTr="0047623E">
        <w:trPr>
          <w:trHeight w:val="290"/>
        </w:trPr>
        <w:tc>
          <w:tcPr>
            <w:tcW w:w="1345" w:type="dxa"/>
            <w:noWrap/>
            <w:hideMark/>
          </w:tcPr>
          <w:p w14:paraId="1924BE21" w14:textId="77777777" w:rsidR="00112F64" w:rsidRPr="00112F64" w:rsidRDefault="00112F64" w:rsidP="002B358B">
            <w:pPr>
              <w:spacing w:line="360" w:lineRule="auto"/>
              <w:jc w:val="both"/>
              <w:rPr>
                <w:b/>
                <w:bCs/>
                <w:color w:val="000000" w:themeColor="text1"/>
              </w:rPr>
            </w:pPr>
            <w:r w:rsidRPr="00112F64">
              <w:rPr>
                <w:b/>
                <w:bCs/>
                <w:color w:val="000000" w:themeColor="text1"/>
              </w:rPr>
              <w:t>Injuries</w:t>
            </w:r>
          </w:p>
        </w:tc>
        <w:tc>
          <w:tcPr>
            <w:tcW w:w="727" w:type="dxa"/>
            <w:noWrap/>
            <w:hideMark/>
          </w:tcPr>
          <w:p w14:paraId="319EA7CB" w14:textId="77777777" w:rsidR="00112F64" w:rsidRPr="00112F64" w:rsidRDefault="00112F64" w:rsidP="002B358B">
            <w:pPr>
              <w:spacing w:line="360" w:lineRule="auto"/>
              <w:jc w:val="both"/>
              <w:rPr>
                <w:color w:val="000000" w:themeColor="text1"/>
              </w:rPr>
            </w:pPr>
            <w:r w:rsidRPr="00112F64">
              <w:rPr>
                <w:color w:val="000000" w:themeColor="text1"/>
              </w:rPr>
              <w:t>32</w:t>
            </w:r>
          </w:p>
        </w:tc>
        <w:tc>
          <w:tcPr>
            <w:tcW w:w="727" w:type="dxa"/>
            <w:noWrap/>
            <w:hideMark/>
          </w:tcPr>
          <w:p w14:paraId="2E97EC3E" w14:textId="77777777" w:rsidR="00112F64" w:rsidRPr="00112F64" w:rsidRDefault="00112F64" w:rsidP="002B358B">
            <w:pPr>
              <w:spacing w:line="360" w:lineRule="auto"/>
              <w:jc w:val="both"/>
              <w:rPr>
                <w:color w:val="000000" w:themeColor="text1"/>
              </w:rPr>
            </w:pPr>
            <w:r w:rsidRPr="00112F64">
              <w:rPr>
                <w:color w:val="000000" w:themeColor="text1"/>
              </w:rPr>
              <w:t>44</w:t>
            </w:r>
          </w:p>
        </w:tc>
        <w:tc>
          <w:tcPr>
            <w:tcW w:w="727" w:type="dxa"/>
            <w:noWrap/>
            <w:hideMark/>
          </w:tcPr>
          <w:p w14:paraId="154EC3AB" w14:textId="77777777" w:rsidR="00112F64" w:rsidRPr="00112F64" w:rsidRDefault="00112F64" w:rsidP="002B358B">
            <w:pPr>
              <w:spacing w:line="360" w:lineRule="auto"/>
              <w:jc w:val="both"/>
              <w:rPr>
                <w:color w:val="000000" w:themeColor="text1"/>
              </w:rPr>
            </w:pPr>
            <w:r w:rsidRPr="00112F64">
              <w:rPr>
                <w:color w:val="000000" w:themeColor="text1"/>
              </w:rPr>
              <w:t>45</w:t>
            </w:r>
          </w:p>
        </w:tc>
        <w:tc>
          <w:tcPr>
            <w:tcW w:w="728" w:type="dxa"/>
            <w:noWrap/>
            <w:hideMark/>
          </w:tcPr>
          <w:p w14:paraId="09B532FE" w14:textId="77777777" w:rsidR="00112F64" w:rsidRPr="00112F64" w:rsidRDefault="00112F64" w:rsidP="002B358B">
            <w:pPr>
              <w:spacing w:line="360" w:lineRule="auto"/>
              <w:jc w:val="both"/>
              <w:rPr>
                <w:color w:val="000000" w:themeColor="text1"/>
              </w:rPr>
            </w:pPr>
            <w:r w:rsidRPr="00112F64">
              <w:rPr>
                <w:color w:val="000000" w:themeColor="text1"/>
              </w:rPr>
              <w:t>37</w:t>
            </w:r>
          </w:p>
        </w:tc>
        <w:tc>
          <w:tcPr>
            <w:tcW w:w="728" w:type="dxa"/>
            <w:noWrap/>
            <w:hideMark/>
          </w:tcPr>
          <w:p w14:paraId="0771F2C6" w14:textId="77777777" w:rsidR="00112F64" w:rsidRPr="00112F64" w:rsidRDefault="00112F64" w:rsidP="002B358B">
            <w:pPr>
              <w:spacing w:line="360" w:lineRule="auto"/>
              <w:jc w:val="both"/>
              <w:rPr>
                <w:color w:val="000000" w:themeColor="text1"/>
              </w:rPr>
            </w:pPr>
            <w:r w:rsidRPr="00112F64">
              <w:rPr>
                <w:color w:val="000000" w:themeColor="text1"/>
              </w:rPr>
              <w:t>32</w:t>
            </w:r>
          </w:p>
        </w:tc>
        <w:tc>
          <w:tcPr>
            <w:tcW w:w="728" w:type="dxa"/>
            <w:noWrap/>
            <w:hideMark/>
          </w:tcPr>
          <w:p w14:paraId="397B47C2" w14:textId="77777777" w:rsidR="00112F64" w:rsidRPr="00112F64" w:rsidRDefault="00112F64" w:rsidP="002B358B">
            <w:pPr>
              <w:spacing w:line="360" w:lineRule="auto"/>
              <w:jc w:val="both"/>
              <w:rPr>
                <w:color w:val="000000" w:themeColor="text1"/>
              </w:rPr>
            </w:pPr>
            <w:r w:rsidRPr="00112F64">
              <w:rPr>
                <w:color w:val="000000" w:themeColor="text1"/>
              </w:rPr>
              <w:t>31</w:t>
            </w:r>
          </w:p>
        </w:tc>
        <w:tc>
          <w:tcPr>
            <w:tcW w:w="728" w:type="dxa"/>
            <w:noWrap/>
            <w:hideMark/>
          </w:tcPr>
          <w:p w14:paraId="497CAF4C" w14:textId="77777777" w:rsidR="00112F64" w:rsidRPr="00112F64" w:rsidRDefault="00112F64" w:rsidP="002B358B">
            <w:pPr>
              <w:spacing w:line="360" w:lineRule="auto"/>
              <w:jc w:val="both"/>
              <w:rPr>
                <w:color w:val="000000" w:themeColor="text1"/>
              </w:rPr>
            </w:pPr>
            <w:r w:rsidRPr="00112F64">
              <w:rPr>
                <w:color w:val="000000" w:themeColor="text1"/>
              </w:rPr>
              <w:t>27</w:t>
            </w:r>
          </w:p>
        </w:tc>
        <w:tc>
          <w:tcPr>
            <w:tcW w:w="728" w:type="dxa"/>
            <w:noWrap/>
            <w:hideMark/>
          </w:tcPr>
          <w:p w14:paraId="4F5DDDEF" w14:textId="77777777" w:rsidR="00112F64" w:rsidRPr="00112F64" w:rsidRDefault="00112F64" w:rsidP="002B358B">
            <w:pPr>
              <w:spacing w:line="360" w:lineRule="auto"/>
              <w:jc w:val="both"/>
              <w:rPr>
                <w:color w:val="000000" w:themeColor="text1"/>
              </w:rPr>
            </w:pPr>
            <w:r w:rsidRPr="00112F64">
              <w:rPr>
                <w:color w:val="000000" w:themeColor="text1"/>
              </w:rPr>
              <w:t>20</w:t>
            </w:r>
          </w:p>
        </w:tc>
        <w:tc>
          <w:tcPr>
            <w:tcW w:w="728" w:type="dxa"/>
            <w:noWrap/>
            <w:hideMark/>
          </w:tcPr>
          <w:p w14:paraId="5F18062B" w14:textId="77777777" w:rsidR="00112F64" w:rsidRPr="00112F64" w:rsidRDefault="00112F64" w:rsidP="002B358B">
            <w:pPr>
              <w:spacing w:line="360" w:lineRule="auto"/>
              <w:jc w:val="both"/>
              <w:rPr>
                <w:color w:val="000000" w:themeColor="text1"/>
              </w:rPr>
            </w:pPr>
            <w:r w:rsidRPr="00112F64">
              <w:rPr>
                <w:color w:val="000000" w:themeColor="text1"/>
              </w:rPr>
              <w:t>17</w:t>
            </w:r>
          </w:p>
        </w:tc>
        <w:tc>
          <w:tcPr>
            <w:tcW w:w="728" w:type="dxa"/>
            <w:noWrap/>
            <w:hideMark/>
          </w:tcPr>
          <w:p w14:paraId="37B1927D" w14:textId="77777777" w:rsidR="00112F64" w:rsidRPr="00112F64" w:rsidRDefault="00112F64" w:rsidP="002B358B">
            <w:pPr>
              <w:spacing w:line="360" w:lineRule="auto"/>
              <w:jc w:val="both"/>
              <w:rPr>
                <w:color w:val="000000" w:themeColor="text1"/>
              </w:rPr>
            </w:pPr>
            <w:r w:rsidRPr="00112F64">
              <w:rPr>
                <w:color w:val="000000" w:themeColor="text1"/>
              </w:rPr>
              <w:t>10</w:t>
            </w:r>
          </w:p>
        </w:tc>
        <w:tc>
          <w:tcPr>
            <w:tcW w:w="871" w:type="dxa"/>
            <w:noWrap/>
            <w:hideMark/>
          </w:tcPr>
          <w:p w14:paraId="324D8A58" w14:textId="77777777" w:rsidR="00112F64" w:rsidRPr="00112F64" w:rsidRDefault="00112F64" w:rsidP="002B358B">
            <w:pPr>
              <w:spacing w:line="360" w:lineRule="auto"/>
              <w:jc w:val="both"/>
              <w:rPr>
                <w:color w:val="000000" w:themeColor="text1"/>
              </w:rPr>
            </w:pPr>
            <w:r w:rsidRPr="00112F64">
              <w:rPr>
                <w:color w:val="000000" w:themeColor="text1"/>
              </w:rPr>
              <w:t>295</w:t>
            </w:r>
          </w:p>
        </w:tc>
      </w:tr>
      <w:tr w:rsidR="00112F64" w:rsidRPr="00112F64" w14:paraId="1AA51FE6" w14:textId="77777777" w:rsidTr="0047623E">
        <w:trPr>
          <w:trHeight w:val="290"/>
        </w:trPr>
        <w:tc>
          <w:tcPr>
            <w:tcW w:w="1345" w:type="dxa"/>
            <w:noWrap/>
            <w:hideMark/>
          </w:tcPr>
          <w:p w14:paraId="055B6EA2" w14:textId="77777777" w:rsidR="00112F64" w:rsidRPr="00112F64" w:rsidRDefault="00112F64" w:rsidP="002B358B">
            <w:pPr>
              <w:spacing w:line="360" w:lineRule="auto"/>
              <w:jc w:val="both"/>
              <w:rPr>
                <w:b/>
                <w:bCs/>
                <w:color w:val="000000" w:themeColor="text1"/>
              </w:rPr>
            </w:pPr>
            <w:r w:rsidRPr="00112F64">
              <w:rPr>
                <w:b/>
                <w:bCs/>
                <w:color w:val="000000" w:themeColor="text1"/>
              </w:rPr>
              <w:t>Deaths</w:t>
            </w:r>
          </w:p>
        </w:tc>
        <w:tc>
          <w:tcPr>
            <w:tcW w:w="727" w:type="dxa"/>
            <w:noWrap/>
            <w:hideMark/>
          </w:tcPr>
          <w:p w14:paraId="1FAFEF48" w14:textId="77777777" w:rsidR="00112F64" w:rsidRPr="00112F64" w:rsidRDefault="00112F64" w:rsidP="002B358B">
            <w:pPr>
              <w:spacing w:line="360" w:lineRule="auto"/>
              <w:jc w:val="both"/>
              <w:rPr>
                <w:color w:val="000000" w:themeColor="text1"/>
              </w:rPr>
            </w:pPr>
            <w:r w:rsidRPr="00112F64">
              <w:rPr>
                <w:color w:val="000000" w:themeColor="text1"/>
              </w:rPr>
              <w:t>0</w:t>
            </w:r>
          </w:p>
        </w:tc>
        <w:tc>
          <w:tcPr>
            <w:tcW w:w="727" w:type="dxa"/>
            <w:noWrap/>
            <w:hideMark/>
          </w:tcPr>
          <w:p w14:paraId="3B7B5A00" w14:textId="77777777" w:rsidR="00112F64" w:rsidRPr="00112F64" w:rsidRDefault="00112F64" w:rsidP="002B358B">
            <w:pPr>
              <w:spacing w:line="360" w:lineRule="auto"/>
              <w:jc w:val="both"/>
              <w:rPr>
                <w:color w:val="000000" w:themeColor="text1"/>
              </w:rPr>
            </w:pPr>
            <w:r w:rsidRPr="00112F64">
              <w:rPr>
                <w:color w:val="000000" w:themeColor="text1"/>
              </w:rPr>
              <w:t>7</w:t>
            </w:r>
          </w:p>
        </w:tc>
        <w:tc>
          <w:tcPr>
            <w:tcW w:w="727" w:type="dxa"/>
            <w:noWrap/>
            <w:hideMark/>
          </w:tcPr>
          <w:p w14:paraId="0638785D" w14:textId="77777777" w:rsidR="00112F64" w:rsidRPr="00112F64" w:rsidRDefault="00112F64" w:rsidP="002B358B">
            <w:pPr>
              <w:spacing w:line="360" w:lineRule="auto"/>
              <w:jc w:val="both"/>
              <w:rPr>
                <w:color w:val="000000" w:themeColor="text1"/>
              </w:rPr>
            </w:pPr>
            <w:r w:rsidRPr="00112F64">
              <w:rPr>
                <w:color w:val="000000" w:themeColor="text1"/>
              </w:rPr>
              <w:t>4</w:t>
            </w:r>
          </w:p>
        </w:tc>
        <w:tc>
          <w:tcPr>
            <w:tcW w:w="728" w:type="dxa"/>
            <w:noWrap/>
            <w:hideMark/>
          </w:tcPr>
          <w:p w14:paraId="3F6E2A67" w14:textId="77777777" w:rsidR="00112F64" w:rsidRPr="00112F64" w:rsidRDefault="00112F64" w:rsidP="002B358B">
            <w:pPr>
              <w:spacing w:line="360" w:lineRule="auto"/>
              <w:jc w:val="both"/>
              <w:rPr>
                <w:color w:val="000000" w:themeColor="text1"/>
              </w:rPr>
            </w:pPr>
            <w:r w:rsidRPr="00112F64">
              <w:rPr>
                <w:color w:val="000000" w:themeColor="text1"/>
              </w:rPr>
              <w:t>1</w:t>
            </w:r>
          </w:p>
        </w:tc>
        <w:tc>
          <w:tcPr>
            <w:tcW w:w="728" w:type="dxa"/>
            <w:noWrap/>
            <w:hideMark/>
          </w:tcPr>
          <w:p w14:paraId="005D881D" w14:textId="77777777" w:rsidR="00112F64" w:rsidRPr="00112F64" w:rsidRDefault="00112F64" w:rsidP="002B358B">
            <w:pPr>
              <w:spacing w:line="360" w:lineRule="auto"/>
              <w:jc w:val="both"/>
              <w:rPr>
                <w:color w:val="000000" w:themeColor="text1"/>
              </w:rPr>
            </w:pPr>
            <w:r w:rsidRPr="00112F64">
              <w:rPr>
                <w:color w:val="000000" w:themeColor="text1"/>
              </w:rPr>
              <w:t>1</w:t>
            </w:r>
          </w:p>
        </w:tc>
        <w:tc>
          <w:tcPr>
            <w:tcW w:w="728" w:type="dxa"/>
            <w:noWrap/>
            <w:hideMark/>
          </w:tcPr>
          <w:p w14:paraId="1F3B7A15" w14:textId="77777777" w:rsidR="00112F64" w:rsidRPr="00112F64" w:rsidRDefault="00112F64" w:rsidP="002B358B">
            <w:pPr>
              <w:spacing w:line="360" w:lineRule="auto"/>
              <w:jc w:val="both"/>
              <w:rPr>
                <w:color w:val="000000" w:themeColor="text1"/>
              </w:rPr>
            </w:pPr>
            <w:r w:rsidRPr="00112F64">
              <w:rPr>
                <w:color w:val="000000" w:themeColor="text1"/>
              </w:rPr>
              <w:t>0</w:t>
            </w:r>
          </w:p>
        </w:tc>
        <w:tc>
          <w:tcPr>
            <w:tcW w:w="728" w:type="dxa"/>
            <w:noWrap/>
            <w:hideMark/>
          </w:tcPr>
          <w:p w14:paraId="47C73E4A" w14:textId="77777777" w:rsidR="00112F64" w:rsidRPr="00112F64" w:rsidRDefault="00112F64" w:rsidP="002B358B">
            <w:pPr>
              <w:spacing w:line="360" w:lineRule="auto"/>
              <w:jc w:val="both"/>
              <w:rPr>
                <w:color w:val="000000" w:themeColor="text1"/>
              </w:rPr>
            </w:pPr>
            <w:r w:rsidRPr="00112F64">
              <w:rPr>
                <w:color w:val="000000" w:themeColor="text1"/>
              </w:rPr>
              <w:t>5</w:t>
            </w:r>
          </w:p>
        </w:tc>
        <w:tc>
          <w:tcPr>
            <w:tcW w:w="728" w:type="dxa"/>
            <w:noWrap/>
            <w:hideMark/>
          </w:tcPr>
          <w:p w14:paraId="41AD69C2" w14:textId="77777777" w:rsidR="00112F64" w:rsidRPr="00112F64" w:rsidRDefault="00112F64" w:rsidP="002B358B">
            <w:pPr>
              <w:spacing w:line="360" w:lineRule="auto"/>
              <w:jc w:val="both"/>
              <w:rPr>
                <w:color w:val="000000" w:themeColor="text1"/>
              </w:rPr>
            </w:pPr>
            <w:r w:rsidRPr="00112F64">
              <w:rPr>
                <w:color w:val="000000" w:themeColor="text1"/>
              </w:rPr>
              <w:t>0</w:t>
            </w:r>
          </w:p>
        </w:tc>
        <w:tc>
          <w:tcPr>
            <w:tcW w:w="728" w:type="dxa"/>
            <w:noWrap/>
            <w:hideMark/>
          </w:tcPr>
          <w:p w14:paraId="34BF1F41" w14:textId="77777777" w:rsidR="00112F64" w:rsidRPr="00112F64" w:rsidRDefault="00112F64" w:rsidP="002B358B">
            <w:pPr>
              <w:spacing w:line="360" w:lineRule="auto"/>
              <w:jc w:val="both"/>
              <w:rPr>
                <w:color w:val="000000" w:themeColor="text1"/>
              </w:rPr>
            </w:pPr>
            <w:r w:rsidRPr="00112F64">
              <w:rPr>
                <w:color w:val="000000" w:themeColor="text1"/>
              </w:rPr>
              <w:t>1</w:t>
            </w:r>
          </w:p>
        </w:tc>
        <w:tc>
          <w:tcPr>
            <w:tcW w:w="728" w:type="dxa"/>
            <w:noWrap/>
            <w:hideMark/>
          </w:tcPr>
          <w:p w14:paraId="231ECA0C" w14:textId="77777777" w:rsidR="00112F64" w:rsidRPr="00112F64" w:rsidRDefault="00112F64" w:rsidP="002B358B">
            <w:pPr>
              <w:spacing w:line="360" w:lineRule="auto"/>
              <w:jc w:val="both"/>
              <w:rPr>
                <w:color w:val="000000" w:themeColor="text1"/>
              </w:rPr>
            </w:pPr>
            <w:r w:rsidRPr="00112F64">
              <w:rPr>
                <w:color w:val="000000" w:themeColor="text1"/>
              </w:rPr>
              <w:t>0</w:t>
            </w:r>
          </w:p>
        </w:tc>
        <w:tc>
          <w:tcPr>
            <w:tcW w:w="871" w:type="dxa"/>
            <w:noWrap/>
            <w:hideMark/>
          </w:tcPr>
          <w:p w14:paraId="6F39E222" w14:textId="77777777" w:rsidR="00112F64" w:rsidRPr="00112F64" w:rsidRDefault="00112F64" w:rsidP="002B358B">
            <w:pPr>
              <w:spacing w:line="360" w:lineRule="auto"/>
              <w:jc w:val="both"/>
              <w:rPr>
                <w:color w:val="000000" w:themeColor="text1"/>
              </w:rPr>
            </w:pPr>
            <w:r w:rsidRPr="00112F64">
              <w:rPr>
                <w:color w:val="000000" w:themeColor="text1"/>
              </w:rPr>
              <w:t>19</w:t>
            </w:r>
          </w:p>
        </w:tc>
      </w:tr>
    </w:tbl>
    <w:p w14:paraId="4BC5839C" w14:textId="77777777" w:rsidR="00112F64" w:rsidRPr="00112F64" w:rsidRDefault="00112F64" w:rsidP="002B358B">
      <w:pPr>
        <w:spacing w:line="360" w:lineRule="auto"/>
        <w:jc w:val="both"/>
        <w:rPr>
          <w:i/>
          <w:iCs/>
          <w:color w:val="000000" w:themeColor="text1"/>
        </w:rPr>
      </w:pPr>
      <w:r w:rsidRPr="00112F64">
        <w:rPr>
          <w:color w:val="000000" w:themeColor="text1"/>
        </w:rPr>
        <w:t xml:space="preserve">                                                                                                                        </w:t>
      </w:r>
      <w:r w:rsidRPr="00112F64">
        <w:rPr>
          <w:i/>
          <w:iCs/>
          <w:color w:val="000000" w:themeColor="text1"/>
        </w:rPr>
        <w:t>Source: City of Harare</w:t>
      </w:r>
    </w:p>
    <w:p w14:paraId="7356D554" w14:textId="0F2C1B43" w:rsidR="00112F64" w:rsidRPr="00112F64" w:rsidRDefault="00112F64" w:rsidP="002B358B">
      <w:pPr>
        <w:spacing w:line="360" w:lineRule="auto"/>
        <w:jc w:val="both"/>
        <w:rPr>
          <w:color w:val="000000" w:themeColor="text1"/>
        </w:rPr>
      </w:pPr>
      <w:r w:rsidRPr="00112F64">
        <w:rPr>
          <w:color w:val="000000" w:themeColor="text1"/>
        </w:rPr>
        <w:t xml:space="preserve">The data provided shows the number of injuries and deaths over a span of years, from 2015 to 2024. Focusing on the </w:t>
      </w:r>
      <w:r w:rsidR="00ED0CCF" w:rsidRPr="00112F64">
        <w:rPr>
          <w:color w:val="000000" w:themeColor="text1"/>
        </w:rPr>
        <w:t>data,</w:t>
      </w:r>
      <w:r w:rsidRPr="00112F64">
        <w:rPr>
          <w:color w:val="000000" w:themeColor="text1"/>
        </w:rPr>
        <w:t xml:space="preserve"> observe the following trends: injuries fluctuate annually, with a general decrease towards 2024, starting from 32 in 2015 and dropping to 10 in 2024. The highest injury count was in 2019 with 45 injuries, while the lowest was in 2024 with 10. This suggests some improvement in safety or reporting </w:t>
      </w:r>
      <w:r w:rsidR="00ED0CCF" w:rsidRPr="00112F64">
        <w:rPr>
          <w:color w:val="000000" w:themeColor="text1"/>
        </w:rPr>
        <w:t>overtime</w:t>
      </w:r>
      <w:r w:rsidRPr="00112F64">
        <w:rPr>
          <w:color w:val="000000" w:themeColor="text1"/>
        </w:rPr>
        <w:t>.</w:t>
      </w:r>
    </w:p>
    <w:p w14:paraId="6542F9AA" w14:textId="77777777" w:rsidR="00112F64" w:rsidRPr="00112F64" w:rsidRDefault="00112F64" w:rsidP="002B358B">
      <w:pPr>
        <w:spacing w:line="360" w:lineRule="auto"/>
        <w:jc w:val="both"/>
        <w:rPr>
          <w:color w:val="000000" w:themeColor="text1"/>
        </w:rPr>
      </w:pPr>
      <w:r w:rsidRPr="00112F64">
        <w:rPr>
          <w:color w:val="000000" w:themeColor="text1"/>
        </w:rPr>
        <w:t>Regarding deaths, the numbers are relatively low compared to injuries, with some years reporting zero deaths (2015, 2016, 2018, 2020, 2022, 2024). The highest death count was 7 in 2016, and the lowest was zero in multiple years. The data indicates that fatalities are rare but still occur sporadically. The overall trend shows a decline in deaths over the years, which could be attributed to better safety measures, regulations, or reporting practices.</w:t>
      </w:r>
    </w:p>
    <w:p w14:paraId="5570DC3A" w14:textId="77777777" w:rsidR="00112F64" w:rsidRPr="00112F64" w:rsidRDefault="00112F64" w:rsidP="002B358B">
      <w:pPr>
        <w:spacing w:line="360" w:lineRule="auto"/>
        <w:jc w:val="both"/>
        <w:rPr>
          <w:color w:val="000000" w:themeColor="text1"/>
        </w:rPr>
      </w:pPr>
      <w:r w:rsidRPr="00112F64">
        <w:rPr>
          <w:color w:val="000000" w:themeColor="text1"/>
        </w:rPr>
        <w:t>In summary, injuries have decreased over time, indicating potential improvements in safety protocols, while deaths remain infrequent, with some years experiencing none. This pattern suggests progress in reducing both injuries and fatalities, although continuous efforts are necessary to maintain and improve safety standards.</w:t>
      </w:r>
    </w:p>
    <w:p w14:paraId="65BD855E" w14:textId="77777777" w:rsidR="00112F64" w:rsidRPr="00112F64" w:rsidRDefault="00112F64" w:rsidP="002B358B">
      <w:pPr>
        <w:spacing w:line="360" w:lineRule="auto"/>
        <w:jc w:val="both"/>
        <w:rPr>
          <w:color w:val="000000" w:themeColor="text1"/>
        </w:rPr>
      </w:pPr>
    </w:p>
    <w:p w14:paraId="32B2615C" w14:textId="77777777" w:rsidR="00112F64" w:rsidRPr="00112F64" w:rsidRDefault="00112F64">
      <w:pPr>
        <w:numPr>
          <w:ilvl w:val="0"/>
          <w:numId w:val="19"/>
        </w:numPr>
        <w:spacing w:line="360" w:lineRule="auto"/>
        <w:contextualSpacing/>
        <w:jc w:val="both"/>
        <w:rPr>
          <w:b/>
          <w:bCs/>
        </w:rPr>
      </w:pPr>
      <w:r w:rsidRPr="00112F64">
        <w:rPr>
          <w:b/>
          <w:bCs/>
        </w:rPr>
        <w:t>Property loss values, estimated replacement costs</w:t>
      </w:r>
    </w:p>
    <w:tbl>
      <w:tblPr>
        <w:tblStyle w:val="TableGrid"/>
        <w:tblW w:w="9445" w:type="dxa"/>
        <w:tblLayout w:type="fixed"/>
        <w:tblLook w:val="0000" w:firstRow="0" w:lastRow="0" w:firstColumn="0" w:lastColumn="0" w:noHBand="0" w:noVBand="0"/>
      </w:tblPr>
      <w:tblGrid>
        <w:gridCol w:w="954"/>
        <w:gridCol w:w="2460"/>
        <w:gridCol w:w="1621"/>
        <w:gridCol w:w="1170"/>
        <w:gridCol w:w="1260"/>
        <w:gridCol w:w="1980"/>
      </w:tblGrid>
      <w:tr w:rsidR="00ED0CCF" w:rsidRPr="00ED0CCF" w14:paraId="425A0D49" w14:textId="77777777" w:rsidTr="00ED0CCF">
        <w:tc>
          <w:tcPr>
            <w:tcW w:w="9445" w:type="dxa"/>
            <w:gridSpan w:val="6"/>
          </w:tcPr>
          <w:p w14:paraId="27C82773" w14:textId="77777777" w:rsidR="00112F64" w:rsidRPr="00ED0CCF" w:rsidRDefault="00112F64" w:rsidP="002B358B">
            <w:pPr>
              <w:autoSpaceDE w:val="0"/>
              <w:autoSpaceDN w:val="0"/>
              <w:adjustRightInd w:val="0"/>
              <w:spacing w:line="320" w:lineRule="atLeast"/>
              <w:ind w:right="60"/>
              <w:jc w:val="both"/>
              <w:rPr>
                <w:rFonts w:ascii="Arial" w:hAnsi="Arial" w:cs="Arial"/>
                <w:b/>
                <w:bCs/>
              </w:rPr>
            </w:pPr>
            <w:r w:rsidRPr="00ED0CCF">
              <w:rPr>
                <w:rFonts w:ascii="Arial" w:hAnsi="Arial" w:cs="Arial"/>
                <w:b/>
                <w:bCs/>
              </w:rPr>
              <w:t xml:space="preserve">Please estimate the total property loss you have experienced due to fire in Harare (if none, write 0). </w:t>
            </w:r>
          </w:p>
          <w:p w14:paraId="41F6C8A5" w14:textId="77777777" w:rsidR="00206789" w:rsidRPr="00ED0CCF" w:rsidRDefault="00206789">
            <w:pPr>
              <w:numPr>
                <w:ilvl w:val="0"/>
                <w:numId w:val="22"/>
              </w:numPr>
              <w:spacing w:line="360" w:lineRule="auto"/>
              <w:contextualSpacing/>
              <w:jc w:val="both"/>
              <w:rPr>
                <w:b/>
                <w:bCs/>
              </w:rPr>
            </w:pPr>
            <w:r w:rsidRPr="00ED0CCF">
              <w:rPr>
                <w:rFonts w:ascii="Arial" w:hAnsi="Arial" w:cs="Arial"/>
                <w:b/>
                <w:bCs/>
              </w:rPr>
              <w:t xml:space="preserve">Table 4.37 </w:t>
            </w:r>
            <w:r w:rsidRPr="00ED0CCF">
              <w:rPr>
                <w:b/>
                <w:bCs/>
              </w:rPr>
              <w:t>Property loss values, estimated replacement costs</w:t>
            </w:r>
          </w:p>
          <w:p w14:paraId="004DC3B8" w14:textId="0256408B" w:rsidR="00206789" w:rsidRPr="00ED0CCF" w:rsidRDefault="00206789" w:rsidP="002B358B">
            <w:pPr>
              <w:autoSpaceDE w:val="0"/>
              <w:autoSpaceDN w:val="0"/>
              <w:adjustRightInd w:val="0"/>
              <w:spacing w:line="320" w:lineRule="atLeast"/>
              <w:ind w:right="60"/>
              <w:jc w:val="both"/>
              <w:rPr>
                <w:rFonts w:ascii="Arial" w:hAnsi="Arial" w:cs="Arial"/>
              </w:rPr>
            </w:pPr>
          </w:p>
        </w:tc>
      </w:tr>
      <w:tr w:rsidR="00ED0CCF" w:rsidRPr="00ED0CCF" w14:paraId="07556B0D" w14:textId="77777777" w:rsidTr="00ED0CCF">
        <w:tc>
          <w:tcPr>
            <w:tcW w:w="3414" w:type="dxa"/>
            <w:gridSpan w:val="2"/>
          </w:tcPr>
          <w:p w14:paraId="13BC8024" w14:textId="77777777" w:rsidR="00112F64" w:rsidRPr="00ED0CCF" w:rsidRDefault="00112F64" w:rsidP="002B358B">
            <w:pPr>
              <w:autoSpaceDE w:val="0"/>
              <w:autoSpaceDN w:val="0"/>
              <w:adjustRightInd w:val="0"/>
              <w:jc w:val="both"/>
            </w:pPr>
          </w:p>
        </w:tc>
        <w:tc>
          <w:tcPr>
            <w:tcW w:w="1621" w:type="dxa"/>
          </w:tcPr>
          <w:p w14:paraId="418CA60B"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Frequency</w:t>
            </w:r>
          </w:p>
        </w:tc>
        <w:tc>
          <w:tcPr>
            <w:tcW w:w="1170" w:type="dxa"/>
          </w:tcPr>
          <w:p w14:paraId="4BCAB9FB"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Percent</w:t>
            </w:r>
          </w:p>
        </w:tc>
        <w:tc>
          <w:tcPr>
            <w:tcW w:w="1260" w:type="dxa"/>
          </w:tcPr>
          <w:p w14:paraId="3B4D9EB0"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Valid Percent</w:t>
            </w:r>
          </w:p>
        </w:tc>
        <w:tc>
          <w:tcPr>
            <w:tcW w:w="1980" w:type="dxa"/>
          </w:tcPr>
          <w:p w14:paraId="2BCD8AE0"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Cumulative Percent</w:t>
            </w:r>
          </w:p>
        </w:tc>
      </w:tr>
      <w:tr w:rsidR="00ED0CCF" w:rsidRPr="00ED0CCF" w14:paraId="17BD8E5B" w14:textId="77777777" w:rsidTr="00ED0CCF">
        <w:tc>
          <w:tcPr>
            <w:tcW w:w="954" w:type="dxa"/>
            <w:vMerge w:val="restart"/>
          </w:tcPr>
          <w:p w14:paraId="72F8839F"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Valid</w:t>
            </w:r>
          </w:p>
        </w:tc>
        <w:tc>
          <w:tcPr>
            <w:tcW w:w="2460" w:type="dxa"/>
          </w:tcPr>
          <w:p w14:paraId="42DE69E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0</w:t>
            </w:r>
          </w:p>
        </w:tc>
        <w:tc>
          <w:tcPr>
            <w:tcW w:w="1621" w:type="dxa"/>
          </w:tcPr>
          <w:p w14:paraId="69921949"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w:t>
            </w:r>
          </w:p>
        </w:tc>
        <w:tc>
          <w:tcPr>
            <w:tcW w:w="1170" w:type="dxa"/>
          </w:tcPr>
          <w:p w14:paraId="24E0F936"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33.2</w:t>
            </w:r>
          </w:p>
        </w:tc>
        <w:tc>
          <w:tcPr>
            <w:tcW w:w="1260" w:type="dxa"/>
          </w:tcPr>
          <w:p w14:paraId="65C55179"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33.3</w:t>
            </w:r>
          </w:p>
        </w:tc>
        <w:tc>
          <w:tcPr>
            <w:tcW w:w="1980" w:type="dxa"/>
          </w:tcPr>
          <w:p w14:paraId="5DD38C63"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33.3</w:t>
            </w:r>
          </w:p>
        </w:tc>
      </w:tr>
      <w:tr w:rsidR="00ED0CCF" w:rsidRPr="00ED0CCF" w14:paraId="27B62EC4" w14:textId="77777777" w:rsidTr="00ED0CCF">
        <w:tc>
          <w:tcPr>
            <w:tcW w:w="954" w:type="dxa"/>
            <w:vMerge/>
          </w:tcPr>
          <w:p w14:paraId="5E0AEB1C" w14:textId="77777777" w:rsidR="00112F64" w:rsidRPr="00ED0CCF" w:rsidRDefault="00112F64" w:rsidP="002B358B">
            <w:pPr>
              <w:autoSpaceDE w:val="0"/>
              <w:autoSpaceDN w:val="0"/>
              <w:adjustRightInd w:val="0"/>
              <w:jc w:val="both"/>
              <w:rPr>
                <w:rFonts w:ascii="Arial" w:hAnsi="Arial" w:cs="Arial"/>
              </w:rPr>
            </w:pPr>
          </w:p>
        </w:tc>
        <w:tc>
          <w:tcPr>
            <w:tcW w:w="2460" w:type="dxa"/>
          </w:tcPr>
          <w:p w14:paraId="63EA77E6"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0-5%: Negligible</w:t>
            </w:r>
          </w:p>
        </w:tc>
        <w:tc>
          <w:tcPr>
            <w:tcW w:w="1621" w:type="dxa"/>
          </w:tcPr>
          <w:p w14:paraId="35068D85"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35</w:t>
            </w:r>
          </w:p>
        </w:tc>
        <w:tc>
          <w:tcPr>
            <w:tcW w:w="1170" w:type="dxa"/>
          </w:tcPr>
          <w:p w14:paraId="576FEE6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11.6</w:t>
            </w:r>
          </w:p>
        </w:tc>
        <w:tc>
          <w:tcPr>
            <w:tcW w:w="1260" w:type="dxa"/>
          </w:tcPr>
          <w:p w14:paraId="7C1A8D88"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11.7</w:t>
            </w:r>
          </w:p>
        </w:tc>
        <w:tc>
          <w:tcPr>
            <w:tcW w:w="1980" w:type="dxa"/>
          </w:tcPr>
          <w:p w14:paraId="21B4949E"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45.0</w:t>
            </w:r>
          </w:p>
        </w:tc>
      </w:tr>
      <w:tr w:rsidR="00ED0CCF" w:rsidRPr="00ED0CCF" w14:paraId="570F49D8" w14:textId="77777777" w:rsidTr="00ED0CCF">
        <w:tc>
          <w:tcPr>
            <w:tcW w:w="954" w:type="dxa"/>
            <w:vMerge/>
          </w:tcPr>
          <w:p w14:paraId="132CE5FB" w14:textId="77777777" w:rsidR="00112F64" w:rsidRPr="00ED0CCF" w:rsidRDefault="00112F64" w:rsidP="002B358B">
            <w:pPr>
              <w:autoSpaceDE w:val="0"/>
              <w:autoSpaceDN w:val="0"/>
              <w:adjustRightInd w:val="0"/>
              <w:jc w:val="both"/>
              <w:rPr>
                <w:rFonts w:ascii="Arial" w:hAnsi="Arial" w:cs="Arial"/>
              </w:rPr>
            </w:pPr>
          </w:p>
        </w:tc>
        <w:tc>
          <w:tcPr>
            <w:tcW w:w="2460" w:type="dxa"/>
          </w:tcPr>
          <w:p w14:paraId="3C7F7A51"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5-15% Minor</w:t>
            </w:r>
          </w:p>
        </w:tc>
        <w:tc>
          <w:tcPr>
            <w:tcW w:w="1621" w:type="dxa"/>
          </w:tcPr>
          <w:p w14:paraId="01844EBF"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26</w:t>
            </w:r>
          </w:p>
        </w:tc>
        <w:tc>
          <w:tcPr>
            <w:tcW w:w="1170" w:type="dxa"/>
          </w:tcPr>
          <w:p w14:paraId="4BCD9648"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8.6</w:t>
            </w:r>
          </w:p>
        </w:tc>
        <w:tc>
          <w:tcPr>
            <w:tcW w:w="1260" w:type="dxa"/>
          </w:tcPr>
          <w:p w14:paraId="290B1808"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8.7</w:t>
            </w:r>
          </w:p>
        </w:tc>
        <w:tc>
          <w:tcPr>
            <w:tcW w:w="1980" w:type="dxa"/>
          </w:tcPr>
          <w:p w14:paraId="29A5C1F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53.7</w:t>
            </w:r>
          </w:p>
        </w:tc>
      </w:tr>
      <w:tr w:rsidR="00ED0CCF" w:rsidRPr="00ED0CCF" w14:paraId="77E2610C" w14:textId="77777777" w:rsidTr="00ED0CCF">
        <w:tc>
          <w:tcPr>
            <w:tcW w:w="954" w:type="dxa"/>
            <w:vMerge/>
          </w:tcPr>
          <w:p w14:paraId="0090BBE3" w14:textId="77777777" w:rsidR="00112F64" w:rsidRPr="00ED0CCF" w:rsidRDefault="00112F64" w:rsidP="002B358B">
            <w:pPr>
              <w:autoSpaceDE w:val="0"/>
              <w:autoSpaceDN w:val="0"/>
              <w:adjustRightInd w:val="0"/>
              <w:jc w:val="both"/>
              <w:rPr>
                <w:rFonts w:ascii="Arial" w:hAnsi="Arial" w:cs="Arial"/>
              </w:rPr>
            </w:pPr>
          </w:p>
        </w:tc>
        <w:tc>
          <w:tcPr>
            <w:tcW w:w="2460" w:type="dxa"/>
          </w:tcPr>
          <w:p w14:paraId="4B84B3D4"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15-30% Moderate</w:t>
            </w:r>
          </w:p>
        </w:tc>
        <w:tc>
          <w:tcPr>
            <w:tcW w:w="1621" w:type="dxa"/>
          </w:tcPr>
          <w:p w14:paraId="3CF3A6FB"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55</w:t>
            </w:r>
          </w:p>
        </w:tc>
        <w:tc>
          <w:tcPr>
            <w:tcW w:w="1170" w:type="dxa"/>
          </w:tcPr>
          <w:p w14:paraId="6A59BDC1"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18.3</w:t>
            </w:r>
          </w:p>
        </w:tc>
        <w:tc>
          <w:tcPr>
            <w:tcW w:w="1260" w:type="dxa"/>
          </w:tcPr>
          <w:p w14:paraId="0FD17566"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18.3</w:t>
            </w:r>
          </w:p>
        </w:tc>
        <w:tc>
          <w:tcPr>
            <w:tcW w:w="1980" w:type="dxa"/>
          </w:tcPr>
          <w:p w14:paraId="71918D30"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72.0</w:t>
            </w:r>
          </w:p>
        </w:tc>
      </w:tr>
      <w:tr w:rsidR="00ED0CCF" w:rsidRPr="00ED0CCF" w14:paraId="4E567FA7" w14:textId="77777777" w:rsidTr="00ED0CCF">
        <w:tc>
          <w:tcPr>
            <w:tcW w:w="954" w:type="dxa"/>
            <w:vMerge/>
          </w:tcPr>
          <w:p w14:paraId="42B1F7E1" w14:textId="77777777" w:rsidR="00112F64" w:rsidRPr="00ED0CCF" w:rsidRDefault="00112F64" w:rsidP="002B358B">
            <w:pPr>
              <w:autoSpaceDE w:val="0"/>
              <w:autoSpaceDN w:val="0"/>
              <w:adjustRightInd w:val="0"/>
              <w:jc w:val="both"/>
              <w:rPr>
                <w:rFonts w:ascii="Arial" w:hAnsi="Arial" w:cs="Arial"/>
              </w:rPr>
            </w:pPr>
          </w:p>
        </w:tc>
        <w:tc>
          <w:tcPr>
            <w:tcW w:w="2460" w:type="dxa"/>
          </w:tcPr>
          <w:p w14:paraId="407F4995"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30-60: Severe</w:t>
            </w:r>
          </w:p>
        </w:tc>
        <w:tc>
          <w:tcPr>
            <w:tcW w:w="1621" w:type="dxa"/>
          </w:tcPr>
          <w:p w14:paraId="6E36A09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27</w:t>
            </w:r>
          </w:p>
        </w:tc>
        <w:tc>
          <w:tcPr>
            <w:tcW w:w="1170" w:type="dxa"/>
          </w:tcPr>
          <w:p w14:paraId="40BC6573"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9.0</w:t>
            </w:r>
          </w:p>
        </w:tc>
        <w:tc>
          <w:tcPr>
            <w:tcW w:w="1260" w:type="dxa"/>
          </w:tcPr>
          <w:p w14:paraId="168CD275"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9.0</w:t>
            </w:r>
          </w:p>
        </w:tc>
        <w:tc>
          <w:tcPr>
            <w:tcW w:w="1980" w:type="dxa"/>
          </w:tcPr>
          <w:p w14:paraId="337298A3"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81.0</w:t>
            </w:r>
          </w:p>
        </w:tc>
      </w:tr>
      <w:tr w:rsidR="00ED0CCF" w:rsidRPr="00ED0CCF" w14:paraId="0401BCD5" w14:textId="77777777" w:rsidTr="00ED0CCF">
        <w:tc>
          <w:tcPr>
            <w:tcW w:w="954" w:type="dxa"/>
            <w:vMerge/>
          </w:tcPr>
          <w:p w14:paraId="676C0CB9" w14:textId="77777777" w:rsidR="00112F64" w:rsidRPr="00ED0CCF" w:rsidRDefault="00112F64" w:rsidP="002B358B">
            <w:pPr>
              <w:autoSpaceDE w:val="0"/>
              <w:autoSpaceDN w:val="0"/>
              <w:adjustRightInd w:val="0"/>
              <w:jc w:val="both"/>
              <w:rPr>
                <w:rFonts w:ascii="Arial" w:hAnsi="Arial" w:cs="Arial"/>
              </w:rPr>
            </w:pPr>
          </w:p>
        </w:tc>
        <w:tc>
          <w:tcPr>
            <w:tcW w:w="2460" w:type="dxa"/>
          </w:tcPr>
          <w:p w14:paraId="3730F3FE"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&gt;60%: Critical/Catastrophic</w:t>
            </w:r>
          </w:p>
        </w:tc>
        <w:tc>
          <w:tcPr>
            <w:tcW w:w="1621" w:type="dxa"/>
          </w:tcPr>
          <w:p w14:paraId="6C0D287E"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57</w:t>
            </w:r>
          </w:p>
        </w:tc>
        <w:tc>
          <w:tcPr>
            <w:tcW w:w="1170" w:type="dxa"/>
          </w:tcPr>
          <w:p w14:paraId="4FD76614"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18.9</w:t>
            </w:r>
          </w:p>
        </w:tc>
        <w:tc>
          <w:tcPr>
            <w:tcW w:w="1260" w:type="dxa"/>
          </w:tcPr>
          <w:p w14:paraId="1573F44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19.0</w:t>
            </w:r>
          </w:p>
        </w:tc>
        <w:tc>
          <w:tcPr>
            <w:tcW w:w="1980" w:type="dxa"/>
          </w:tcPr>
          <w:p w14:paraId="1C6FB1B9"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r>
      <w:tr w:rsidR="00ED0CCF" w:rsidRPr="00ED0CCF" w14:paraId="6573C888" w14:textId="77777777" w:rsidTr="00ED0CCF">
        <w:tc>
          <w:tcPr>
            <w:tcW w:w="954" w:type="dxa"/>
            <w:vMerge/>
          </w:tcPr>
          <w:p w14:paraId="51B5FAD0" w14:textId="77777777" w:rsidR="00112F64" w:rsidRPr="00ED0CCF" w:rsidRDefault="00112F64" w:rsidP="002B358B">
            <w:pPr>
              <w:autoSpaceDE w:val="0"/>
              <w:autoSpaceDN w:val="0"/>
              <w:adjustRightInd w:val="0"/>
              <w:jc w:val="both"/>
              <w:rPr>
                <w:rFonts w:ascii="Arial" w:hAnsi="Arial" w:cs="Arial"/>
              </w:rPr>
            </w:pPr>
          </w:p>
        </w:tc>
        <w:tc>
          <w:tcPr>
            <w:tcW w:w="2460" w:type="dxa"/>
          </w:tcPr>
          <w:p w14:paraId="4D63E9AF"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Total</w:t>
            </w:r>
          </w:p>
        </w:tc>
        <w:tc>
          <w:tcPr>
            <w:tcW w:w="1621" w:type="dxa"/>
          </w:tcPr>
          <w:p w14:paraId="0D08BC8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300</w:t>
            </w:r>
          </w:p>
        </w:tc>
        <w:tc>
          <w:tcPr>
            <w:tcW w:w="1170" w:type="dxa"/>
          </w:tcPr>
          <w:p w14:paraId="2335A512"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99.7</w:t>
            </w:r>
          </w:p>
        </w:tc>
        <w:tc>
          <w:tcPr>
            <w:tcW w:w="1260" w:type="dxa"/>
          </w:tcPr>
          <w:p w14:paraId="5C0A5A16"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c>
          <w:tcPr>
            <w:tcW w:w="1980" w:type="dxa"/>
          </w:tcPr>
          <w:p w14:paraId="142EE0D3" w14:textId="77777777" w:rsidR="00112F64" w:rsidRPr="00ED0CCF" w:rsidRDefault="00112F64" w:rsidP="002B358B">
            <w:pPr>
              <w:autoSpaceDE w:val="0"/>
              <w:autoSpaceDN w:val="0"/>
              <w:adjustRightInd w:val="0"/>
              <w:jc w:val="both"/>
            </w:pPr>
          </w:p>
        </w:tc>
      </w:tr>
      <w:tr w:rsidR="00ED0CCF" w:rsidRPr="00ED0CCF" w14:paraId="41C1C4E7" w14:textId="77777777" w:rsidTr="00ED0CCF">
        <w:tc>
          <w:tcPr>
            <w:tcW w:w="954" w:type="dxa"/>
          </w:tcPr>
          <w:p w14:paraId="25E0E6FE"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Missing</w:t>
            </w:r>
          </w:p>
        </w:tc>
        <w:tc>
          <w:tcPr>
            <w:tcW w:w="2460" w:type="dxa"/>
          </w:tcPr>
          <w:p w14:paraId="400A7318"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System</w:t>
            </w:r>
          </w:p>
        </w:tc>
        <w:tc>
          <w:tcPr>
            <w:tcW w:w="1621" w:type="dxa"/>
          </w:tcPr>
          <w:p w14:paraId="6BEE2ADF"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w:t>
            </w:r>
          </w:p>
        </w:tc>
        <w:tc>
          <w:tcPr>
            <w:tcW w:w="1170" w:type="dxa"/>
          </w:tcPr>
          <w:p w14:paraId="2AEF8DF8"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w:t>
            </w:r>
          </w:p>
        </w:tc>
        <w:tc>
          <w:tcPr>
            <w:tcW w:w="1260" w:type="dxa"/>
          </w:tcPr>
          <w:p w14:paraId="43263EBB" w14:textId="77777777" w:rsidR="00112F64" w:rsidRPr="00ED0CCF" w:rsidRDefault="00112F64" w:rsidP="002B358B">
            <w:pPr>
              <w:autoSpaceDE w:val="0"/>
              <w:autoSpaceDN w:val="0"/>
              <w:adjustRightInd w:val="0"/>
              <w:jc w:val="both"/>
            </w:pPr>
          </w:p>
        </w:tc>
        <w:tc>
          <w:tcPr>
            <w:tcW w:w="1980" w:type="dxa"/>
          </w:tcPr>
          <w:p w14:paraId="2D416B65" w14:textId="77777777" w:rsidR="00112F64" w:rsidRPr="00ED0CCF" w:rsidRDefault="00112F64" w:rsidP="002B358B">
            <w:pPr>
              <w:autoSpaceDE w:val="0"/>
              <w:autoSpaceDN w:val="0"/>
              <w:adjustRightInd w:val="0"/>
              <w:jc w:val="both"/>
            </w:pPr>
          </w:p>
        </w:tc>
      </w:tr>
      <w:tr w:rsidR="00ED0CCF" w:rsidRPr="00ED0CCF" w14:paraId="31DCFD9C" w14:textId="77777777" w:rsidTr="00ED0CCF">
        <w:tc>
          <w:tcPr>
            <w:tcW w:w="3414" w:type="dxa"/>
            <w:gridSpan w:val="2"/>
          </w:tcPr>
          <w:p w14:paraId="41ABA922"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Total</w:t>
            </w:r>
          </w:p>
        </w:tc>
        <w:tc>
          <w:tcPr>
            <w:tcW w:w="1621" w:type="dxa"/>
          </w:tcPr>
          <w:p w14:paraId="718467A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301</w:t>
            </w:r>
          </w:p>
        </w:tc>
        <w:tc>
          <w:tcPr>
            <w:tcW w:w="1170" w:type="dxa"/>
          </w:tcPr>
          <w:p w14:paraId="7F8A2804"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c>
          <w:tcPr>
            <w:tcW w:w="1260" w:type="dxa"/>
          </w:tcPr>
          <w:p w14:paraId="722E2F71" w14:textId="77777777" w:rsidR="00112F64" w:rsidRPr="00ED0CCF" w:rsidRDefault="00112F64" w:rsidP="002B358B">
            <w:pPr>
              <w:autoSpaceDE w:val="0"/>
              <w:autoSpaceDN w:val="0"/>
              <w:adjustRightInd w:val="0"/>
              <w:jc w:val="both"/>
            </w:pPr>
          </w:p>
        </w:tc>
        <w:tc>
          <w:tcPr>
            <w:tcW w:w="1980" w:type="dxa"/>
          </w:tcPr>
          <w:p w14:paraId="70DEE3FB" w14:textId="77777777" w:rsidR="00112F64" w:rsidRPr="00ED0CCF" w:rsidRDefault="00112F64" w:rsidP="002B358B">
            <w:pPr>
              <w:autoSpaceDE w:val="0"/>
              <w:autoSpaceDN w:val="0"/>
              <w:adjustRightInd w:val="0"/>
              <w:jc w:val="both"/>
            </w:pPr>
          </w:p>
        </w:tc>
      </w:tr>
    </w:tbl>
    <w:p w14:paraId="05FA1308" w14:textId="77777777" w:rsidR="00112F64" w:rsidRPr="00112F64" w:rsidRDefault="00112F64" w:rsidP="002B358B">
      <w:pPr>
        <w:autoSpaceDE w:val="0"/>
        <w:autoSpaceDN w:val="0"/>
        <w:adjustRightInd w:val="0"/>
        <w:spacing w:line="400" w:lineRule="atLeast"/>
        <w:jc w:val="both"/>
        <w:rPr>
          <w:i/>
          <w:iCs/>
          <w:sz w:val="18"/>
          <w:szCs w:val="18"/>
        </w:rPr>
      </w:pPr>
      <w:r w:rsidRPr="00112F64">
        <w:tab/>
      </w:r>
      <w:r w:rsidRPr="00112F64">
        <w:tab/>
      </w:r>
      <w:r w:rsidRPr="00112F64">
        <w:tab/>
      </w:r>
      <w:r w:rsidRPr="00112F64">
        <w:tab/>
      </w:r>
      <w:r w:rsidRPr="00112F64">
        <w:tab/>
      </w:r>
      <w:r w:rsidRPr="00112F64">
        <w:tab/>
      </w:r>
      <w:r w:rsidRPr="00112F64">
        <w:tab/>
      </w:r>
      <w:r w:rsidRPr="00112F64">
        <w:tab/>
      </w:r>
      <w:r w:rsidRPr="00112F64">
        <w:tab/>
      </w:r>
      <w:r w:rsidRPr="00112F64">
        <w:tab/>
      </w:r>
      <w:r w:rsidRPr="00112F64">
        <w:rPr>
          <w:i/>
          <w:iCs/>
          <w:sz w:val="18"/>
          <w:szCs w:val="18"/>
        </w:rPr>
        <w:t>Source: SPSS</w:t>
      </w:r>
    </w:p>
    <w:p w14:paraId="65B8C6B6" w14:textId="77777777" w:rsidR="00112F64" w:rsidRPr="00112F64" w:rsidRDefault="00112F64" w:rsidP="002B358B">
      <w:pPr>
        <w:spacing w:line="360" w:lineRule="auto"/>
        <w:jc w:val="both"/>
      </w:pPr>
      <w:r w:rsidRPr="00112F64">
        <w:t>The table presents data on estimated property loss due to fire in Harare, categorized by percentage loss levels. The key figures include the number of respondents (300 valid responses) and their distribution across different loss categories. Notably, 33.2% of respondents reported no loss (0%), indicating no property damage. The remaining respondents are spread across various loss levels: 11.6% experienced negligible loss (0-5%), 8.6% minor (5-15%), 18.3% moderate (15-30%), 9.0% severe (30-60%), and 18.9% critical or catastrophic (&gt;60%). The cumulative percentage shows that over half of the respondents (53.7%) experienced up to 15% loss, while a significant portion (37.9%) faced more severe losses (&gt;30%). The data suggests that property damage varies widely, with a notable proportion experiencing substantial losses. The presence of missing data (1 response) slightly affects the total count but does not significantly alter the overall distribution. This information can help policymakers and emergency services understand the severity and distribution of fire-related property losses, guiding resource allocation and preventive measures. Overall, the data indicates that while some individuals experienced minimal or no loss, a considerable number faced severe or catastrophic damage, highlighting the importance of targeted interventions to mitigate such risks in the future.</w:t>
      </w:r>
    </w:p>
    <w:p w14:paraId="7CAC25C8" w14:textId="77777777" w:rsidR="00112F64" w:rsidRPr="00112F64" w:rsidRDefault="00112F64" w:rsidP="002B358B">
      <w:pPr>
        <w:spacing w:line="360" w:lineRule="auto"/>
        <w:jc w:val="both"/>
      </w:pPr>
    </w:p>
    <w:p w14:paraId="7332588C" w14:textId="165B62B4" w:rsidR="00112F64" w:rsidRPr="00112F64" w:rsidRDefault="00112F64" w:rsidP="002B358B">
      <w:pPr>
        <w:pStyle w:val="Heading3"/>
        <w:jc w:val="both"/>
      </w:pPr>
      <w:bookmarkStart w:id="112" w:name="_Toc215652935"/>
      <w:r w:rsidRPr="00112F64">
        <w:t>4.</w:t>
      </w:r>
      <w:r w:rsidR="00B560D5">
        <w:t>5</w:t>
      </w:r>
      <w:r w:rsidRPr="00112F64">
        <w:t>.3 Response Metrics</w:t>
      </w:r>
      <w:bookmarkEnd w:id="112"/>
    </w:p>
    <w:p w14:paraId="6D7BEC77" w14:textId="77777777" w:rsidR="00112F64" w:rsidRPr="00112F64" w:rsidRDefault="00112F64" w:rsidP="002B358B">
      <w:pPr>
        <w:spacing w:line="360" w:lineRule="auto"/>
        <w:jc w:val="both"/>
        <w:rPr>
          <w:color w:val="000000" w:themeColor="text1"/>
        </w:rPr>
      </w:pPr>
      <w:r w:rsidRPr="00112F64">
        <w:rPr>
          <w:color w:val="000000" w:themeColor="text1"/>
        </w:rPr>
        <w:t xml:space="preserve">The table shows that Harare fire brigade emergency response times are consistently longer than the standard times, with deviations ranging from +16 to +48 minutes and the largest gap in 2021 (+48), suggesting worsening efficiency over time.  Distances to incidents do not linearly explain the delays; despite fluctuating distances (e.g., 208 km in 2018 vs 177 km in 2019), response times remain high, implying additional factors like traffic or resources affect performance.  </w:t>
      </w:r>
    </w:p>
    <w:p w14:paraId="462B89F1" w14:textId="77777777" w:rsidR="00112F64" w:rsidRPr="00112F64" w:rsidRDefault="00112F64" w:rsidP="002B358B">
      <w:pPr>
        <w:spacing w:line="360" w:lineRule="auto"/>
        <w:jc w:val="both"/>
      </w:pPr>
    </w:p>
    <w:p w14:paraId="0F57AE02" w14:textId="79589306" w:rsidR="00112F64" w:rsidRPr="00ED0CCF" w:rsidRDefault="00206789" w:rsidP="002B358B">
      <w:pPr>
        <w:spacing w:line="360" w:lineRule="auto"/>
        <w:jc w:val="both"/>
        <w:rPr>
          <w:b/>
          <w:bCs/>
        </w:rPr>
      </w:pPr>
      <w:r w:rsidRPr="00ED0CCF">
        <w:rPr>
          <w:b/>
          <w:bCs/>
        </w:rPr>
        <w:t>Table 4.38 Average emergency response times for Harare fire brigade</w:t>
      </w:r>
    </w:p>
    <w:p w14:paraId="31BB32D5" w14:textId="2708CEC0" w:rsidR="00112F64" w:rsidRPr="00112F64" w:rsidRDefault="00112F64" w:rsidP="002B358B">
      <w:pPr>
        <w:spacing w:line="360" w:lineRule="auto"/>
        <w:jc w:val="both"/>
      </w:pPr>
    </w:p>
    <w:tbl>
      <w:tblPr>
        <w:tblStyle w:val="TableGrid"/>
        <w:tblW w:w="0" w:type="auto"/>
        <w:tblLook w:val="04A0" w:firstRow="1" w:lastRow="0" w:firstColumn="1" w:lastColumn="0" w:noHBand="0" w:noVBand="1"/>
      </w:tblPr>
      <w:tblGrid>
        <w:gridCol w:w="1129"/>
        <w:gridCol w:w="2410"/>
        <w:gridCol w:w="2071"/>
        <w:gridCol w:w="1870"/>
        <w:gridCol w:w="1870"/>
      </w:tblGrid>
      <w:tr w:rsidR="00112F64" w:rsidRPr="00112F64" w14:paraId="1983CC60" w14:textId="77777777" w:rsidTr="0047623E">
        <w:tc>
          <w:tcPr>
            <w:tcW w:w="1129" w:type="dxa"/>
          </w:tcPr>
          <w:p w14:paraId="7599E061" w14:textId="77777777" w:rsidR="00112F64" w:rsidRPr="00112F64" w:rsidRDefault="00112F64" w:rsidP="002B358B">
            <w:pPr>
              <w:jc w:val="both"/>
            </w:pPr>
            <w:r w:rsidRPr="00112F64">
              <w:t>Year</w:t>
            </w:r>
          </w:p>
        </w:tc>
        <w:tc>
          <w:tcPr>
            <w:tcW w:w="2410" w:type="dxa"/>
          </w:tcPr>
          <w:p w14:paraId="2B41E2A0" w14:textId="77777777" w:rsidR="00112F64" w:rsidRPr="00112F64" w:rsidRDefault="00112F64" w:rsidP="002B358B">
            <w:pPr>
              <w:jc w:val="both"/>
            </w:pPr>
            <w:r w:rsidRPr="00112F64">
              <w:t>Average Distance (km)</w:t>
            </w:r>
          </w:p>
        </w:tc>
        <w:tc>
          <w:tcPr>
            <w:tcW w:w="2071" w:type="dxa"/>
          </w:tcPr>
          <w:p w14:paraId="199FD17E" w14:textId="77777777" w:rsidR="00112F64" w:rsidRPr="00112F64" w:rsidRDefault="00112F64" w:rsidP="002B358B">
            <w:pPr>
              <w:jc w:val="both"/>
            </w:pPr>
            <w:r w:rsidRPr="00112F64">
              <w:t>Observed Avg Time (min)</w:t>
            </w:r>
          </w:p>
        </w:tc>
        <w:tc>
          <w:tcPr>
            <w:tcW w:w="1870" w:type="dxa"/>
          </w:tcPr>
          <w:p w14:paraId="23349F8C" w14:textId="77777777" w:rsidR="00112F64" w:rsidRPr="00112F64" w:rsidRDefault="00112F64" w:rsidP="002B358B">
            <w:pPr>
              <w:jc w:val="both"/>
            </w:pPr>
            <w:r w:rsidRPr="00112F64">
              <w:t>Standard Time (min)</w:t>
            </w:r>
          </w:p>
        </w:tc>
        <w:tc>
          <w:tcPr>
            <w:tcW w:w="1870" w:type="dxa"/>
          </w:tcPr>
          <w:p w14:paraId="34D9905B" w14:textId="77777777" w:rsidR="00112F64" w:rsidRPr="00112F64" w:rsidRDefault="00112F64" w:rsidP="002B358B">
            <w:pPr>
              <w:jc w:val="both"/>
            </w:pPr>
            <w:r w:rsidRPr="00112F64">
              <w:t>Deviation (Observed − Standard)</w:t>
            </w:r>
          </w:p>
        </w:tc>
      </w:tr>
      <w:tr w:rsidR="00112F64" w:rsidRPr="00112F64" w14:paraId="24B24A1C" w14:textId="77777777" w:rsidTr="0047623E">
        <w:tc>
          <w:tcPr>
            <w:tcW w:w="1129" w:type="dxa"/>
          </w:tcPr>
          <w:p w14:paraId="70444621" w14:textId="77777777" w:rsidR="00112F64" w:rsidRPr="00112F64" w:rsidRDefault="00112F64" w:rsidP="002B358B">
            <w:pPr>
              <w:jc w:val="both"/>
            </w:pPr>
            <w:r w:rsidRPr="00112F64">
              <w:t>2015</w:t>
            </w:r>
          </w:p>
        </w:tc>
        <w:tc>
          <w:tcPr>
            <w:tcW w:w="2410" w:type="dxa"/>
          </w:tcPr>
          <w:p w14:paraId="0643563B" w14:textId="77777777" w:rsidR="00112F64" w:rsidRPr="00112F64" w:rsidRDefault="00112F64" w:rsidP="002B358B">
            <w:pPr>
              <w:jc w:val="both"/>
            </w:pPr>
            <w:r w:rsidRPr="00112F64">
              <w:t xml:space="preserve">172   </w:t>
            </w:r>
          </w:p>
        </w:tc>
        <w:tc>
          <w:tcPr>
            <w:tcW w:w="2071" w:type="dxa"/>
          </w:tcPr>
          <w:p w14:paraId="604FBAD2" w14:textId="77777777" w:rsidR="00112F64" w:rsidRPr="00112F64" w:rsidRDefault="00112F64" w:rsidP="002B358B">
            <w:pPr>
              <w:jc w:val="both"/>
            </w:pPr>
            <w:r w:rsidRPr="00112F64">
              <w:t>193</w:t>
            </w:r>
          </w:p>
        </w:tc>
        <w:tc>
          <w:tcPr>
            <w:tcW w:w="1870" w:type="dxa"/>
          </w:tcPr>
          <w:p w14:paraId="6DBEFCA1" w14:textId="77777777" w:rsidR="00112F64" w:rsidRPr="00112F64" w:rsidRDefault="00112F64" w:rsidP="002B358B">
            <w:pPr>
              <w:jc w:val="both"/>
            </w:pPr>
            <w:r w:rsidRPr="00112F64">
              <w:t>172</w:t>
            </w:r>
          </w:p>
        </w:tc>
        <w:tc>
          <w:tcPr>
            <w:tcW w:w="1870" w:type="dxa"/>
          </w:tcPr>
          <w:p w14:paraId="52EE8D5F" w14:textId="77777777" w:rsidR="00112F64" w:rsidRPr="00112F64" w:rsidRDefault="00112F64" w:rsidP="002B358B">
            <w:pPr>
              <w:jc w:val="both"/>
            </w:pPr>
            <w:r w:rsidRPr="00112F64">
              <w:t xml:space="preserve">+21                              </w:t>
            </w:r>
          </w:p>
        </w:tc>
      </w:tr>
      <w:tr w:rsidR="00112F64" w:rsidRPr="00112F64" w14:paraId="6BCB5D38" w14:textId="77777777" w:rsidTr="0047623E">
        <w:tc>
          <w:tcPr>
            <w:tcW w:w="1129" w:type="dxa"/>
          </w:tcPr>
          <w:p w14:paraId="66D1CA6B" w14:textId="77777777" w:rsidR="00112F64" w:rsidRPr="00112F64" w:rsidRDefault="00112F64" w:rsidP="002B358B">
            <w:pPr>
              <w:jc w:val="both"/>
            </w:pPr>
            <w:r w:rsidRPr="00112F64">
              <w:t>2016</w:t>
            </w:r>
          </w:p>
        </w:tc>
        <w:tc>
          <w:tcPr>
            <w:tcW w:w="2410" w:type="dxa"/>
          </w:tcPr>
          <w:p w14:paraId="194F5832" w14:textId="77777777" w:rsidR="00112F64" w:rsidRPr="00112F64" w:rsidRDefault="00112F64" w:rsidP="002B358B">
            <w:pPr>
              <w:jc w:val="both"/>
            </w:pPr>
            <w:r w:rsidRPr="00112F64">
              <w:t xml:space="preserve">182   </w:t>
            </w:r>
          </w:p>
        </w:tc>
        <w:tc>
          <w:tcPr>
            <w:tcW w:w="2071" w:type="dxa"/>
          </w:tcPr>
          <w:p w14:paraId="13F72A2B" w14:textId="77777777" w:rsidR="00112F64" w:rsidRPr="00112F64" w:rsidRDefault="00112F64" w:rsidP="002B358B">
            <w:pPr>
              <w:jc w:val="both"/>
            </w:pPr>
            <w:r w:rsidRPr="00112F64">
              <w:t>216</w:t>
            </w:r>
          </w:p>
        </w:tc>
        <w:tc>
          <w:tcPr>
            <w:tcW w:w="1870" w:type="dxa"/>
          </w:tcPr>
          <w:p w14:paraId="0C196959" w14:textId="77777777" w:rsidR="00112F64" w:rsidRPr="00112F64" w:rsidRDefault="00112F64" w:rsidP="002B358B">
            <w:pPr>
              <w:jc w:val="both"/>
            </w:pPr>
            <w:r w:rsidRPr="00112F64">
              <w:t>182</w:t>
            </w:r>
          </w:p>
        </w:tc>
        <w:tc>
          <w:tcPr>
            <w:tcW w:w="1870" w:type="dxa"/>
          </w:tcPr>
          <w:p w14:paraId="45EB37E0" w14:textId="77777777" w:rsidR="00112F64" w:rsidRPr="00112F64" w:rsidRDefault="00112F64" w:rsidP="002B358B">
            <w:pPr>
              <w:jc w:val="both"/>
            </w:pPr>
            <w:r w:rsidRPr="00112F64">
              <w:t xml:space="preserve">+34                              </w:t>
            </w:r>
          </w:p>
        </w:tc>
      </w:tr>
      <w:tr w:rsidR="00112F64" w:rsidRPr="00112F64" w14:paraId="4323A006" w14:textId="77777777" w:rsidTr="0047623E">
        <w:tc>
          <w:tcPr>
            <w:tcW w:w="1129" w:type="dxa"/>
          </w:tcPr>
          <w:p w14:paraId="73C42D2B" w14:textId="77777777" w:rsidR="00112F64" w:rsidRPr="00112F64" w:rsidRDefault="00112F64" w:rsidP="002B358B">
            <w:pPr>
              <w:jc w:val="both"/>
            </w:pPr>
            <w:r w:rsidRPr="00112F64">
              <w:t>2017</w:t>
            </w:r>
          </w:p>
        </w:tc>
        <w:tc>
          <w:tcPr>
            <w:tcW w:w="2410" w:type="dxa"/>
          </w:tcPr>
          <w:p w14:paraId="4805C654" w14:textId="77777777" w:rsidR="00112F64" w:rsidRPr="00112F64" w:rsidRDefault="00112F64" w:rsidP="002B358B">
            <w:pPr>
              <w:jc w:val="both"/>
            </w:pPr>
            <w:r w:rsidRPr="00112F64">
              <w:t>168</w:t>
            </w:r>
          </w:p>
        </w:tc>
        <w:tc>
          <w:tcPr>
            <w:tcW w:w="2071" w:type="dxa"/>
          </w:tcPr>
          <w:p w14:paraId="20965A29" w14:textId="77777777" w:rsidR="00112F64" w:rsidRPr="00112F64" w:rsidRDefault="00112F64" w:rsidP="002B358B">
            <w:pPr>
              <w:jc w:val="both"/>
            </w:pPr>
            <w:r w:rsidRPr="00112F64">
              <w:t>189</w:t>
            </w:r>
          </w:p>
        </w:tc>
        <w:tc>
          <w:tcPr>
            <w:tcW w:w="1870" w:type="dxa"/>
          </w:tcPr>
          <w:p w14:paraId="430DA1F9" w14:textId="77777777" w:rsidR="00112F64" w:rsidRPr="00112F64" w:rsidRDefault="00112F64" w:rsidP="002B358B">
            <w:pPr>
              <w:jc w:val="both"/>
            </w:pPr>
            <w:r w:rsidRPr="00112F64">
              <w:t xml:space="preserve">168   </w:t>
            </w:r>
          </w:p>
        </w:tc>
        <w:tc>
          <w:tcPr>
            <w:tcW w:w="1870" w:type="dxa"/>
          </w:tcPr>
          <w:p w14:paraId="7D0BA771" w14:textId="77777777" w:rsidR="00112F64" w:rsidRPr="00112F64" w:rsidRDefault="00112F64" w:rsidP="002B358B">
            <w:pPr>
              <w:jc w:val="both"/>
            </w:pPr>
            <w:r w:rsidRPr="00112F64">
              <w:t xml:space="preserve">+21                              </w:t>
            </w:r>
          </w:p>
        </w:tc>
      </w:tr>
      <w:tr w:rsidR="00112F64" w:rsidRPr="00112F64" w14:paraId="1CA4B47D" w14:textId="77777777" w:rsidTr="0047623E">
        <w:tc>
          <w:tcPr>
            <w:tcW w:w="1129" w:type="dxa"/>
          </w:tcPr>
          <w:p w14:paraId="48BED754" w14:textId="77777777" w:rsidR="00112F64" w:rsidRPr="00112F64" w:rsidRDefault="00112F64" w:rsidP="002B358B">
            <w:pPr>
              <w:jc w:val="both"/>
            </w:pPr>
            <w:r w:rsidRPr="00112F64">
              <w:t>2018</w:t>
            </w:r>
          </w:p>
        </w:tc>
        <w:tc>
          <w:tcPr>
            <w:tcW w:w="2410" w:type="dxa"/>
          </w:tcPr>
          <w:p w14:paraId="5C57807D" w14:textId="77777777" w:rsidR="00112F64" w:rsidRPr="00112F64" w:rsidRDefault="00112F64" w:rsidP="002B358B">
            <w:pPr>
              <w:jc w:val="both"/>
            </w:pPr>
            <w:r w:rsidRPr="00112F64">
              <w:t>208</w:t>
            </w:r>
          </w:p>
        </w:tc>
        <w:tc>
          <w:tcPr>
            <w:tcW w:w="2071" w:type="dxa"/>
          </w:tcPr>
          <w:p w14:paraId="23E9267C" w14:textId="77777777" w:rsidR="00112F64" w:rsidRPr="00112F64" w:rsidRDefault="00112F64" w:rsidP="002B358B">
            <w:pPr>
              <w:jc w:val="both"/>
            </w:pPr>
            <w:r w:rsidRPr="00112F64">
              <w:t xml:space="preserve">235  </w:t>
            </w:r>
          </w:p>
        </w:tc>
        <w:tc>
          <w:tcPr>
            <w:tcW w:w="1870" w:type="dxa"/>
          </w:tcPr>
          <w:p w14:paraId="42762C2D" w14:textId="77777777" w:rsidR="00112F64" w:rsidRPr="00112F64" w:rsidRDefault="00112F64" w:rsidP="002B358B">
            <w:pPr>
              <w:jc w:val="both"/>
            </w:pPr>
            <w:r w:rsidRPr="00112F64">
              <w:t xml:space="preserve">208   </w:t>
            </w:r>
          </w:p>
        </w:tc>
        <w:tc>
          <w:tcPr>
            <w:tcW w:w="1870" w:type="dxa"/>
          </w:tcPr>
          <w:p w14:paraId="4A899EFA" w14:textId="77777777" w:rsidR="00112F64" w:rsidRPr="00112F64" w:rsidRDefault="00112F64" w:rsidP="002B358B">
            <w:pPr>
              <w:jc w:val="both"/>
            </w:pPr>
            <w:r w:rsidRPr="00112F64">
              <w:t xml:space="preserve">+27                              </w:t>
            </w:r>
          </w:p>
        </w:tc>
      </w:tr>
      <w:tr w:rsidR="00112F64" w:rsidRPr="00112F64" w14:paraId="6CC56A45" w14:textId="77777777" w:rsidTr="0047623E">
        <w:tc>
          <w:tcPr>
            <w:tcW w:w="1129" w:type="dxa"/>
          </w:tcPr>
          <w:p w14:paraId="75ACE6D0" w14:textId="77777777" w:rsidR="00112F64" w:rsidRPr="00112F64" w:rsidRDefault="00112F64" w:rsidP="002B358B">
            <w:pPr>
              <w:jc w:val="both"/>
            </w:pPr>
            <w:r w:rsidRPr="00112F64">
              <w:t>2019</w:t>
            </w:r>
          </w:p>
        </w:tc>
        <w:tc>
          <w:tcPr>
            <w:tcW w:w="2410" w:type="dxa"/>
          </w:tcPr>
          <w:p w14:paraId="051FBDBD" w14:textId="77777777" w:rsidR="00112F64" w:rsidRPr="00112F64" w:rsidRDefault="00112F64" w:rsidP="002B358B">
            <w:pPr>
              <w:jc w:val="both"/>
            </w:pPr>
            <w:r w:rsidRPr="00112F64">
              <w:t xml:space="preserve">177  </w:t>
            </w:r>
          </w:p>
        </w:tc>
        <w:tc>
          <w:tcPr>
            <w:tcW w:w="2071" w:type="dxa"/>
          </w:tcPr>
          <w:p w14:paraId="2DBEBF06" w14:textId="77777777" w:rsidR="00112F64" w:rsidRPr="00112F64" w:rsidRDefault="00112F64" w:rsidP="002B358B">
            <w:pPr>
              <w:jc w:val="both"/>
            </w:pPr>
            <w:r w:rsidRPr="00112F64">
              <w:t>205</w:t>
            </w:r>
          </w:p>
        </w:tc>
        <w:tc>
          <w:tcPr>
            <w:tcW w:w="1870" w:type="dxa"/>
          </w:tcPr>
          <w:p w14:paraId="09B307F9" w14:textId="77777777" w:rsidR="00112F64" w:rsidRPr="00112F64" w:rsidRDefault="00112F64" w:rsidP="002B358B">
            <w:pPr>
              <w:jc w:val="both"/>
            </w:pPr>
            <w:r w:rsidRPr="00112F64">
              <w:t>177</w:t>
            </w:r>
          </w:p>
        </w:tc>
        <w:tc>
          <w:tcPr>
            <w:tcW w:w="1870" w:type="dxa"/>
          </w:tcPr>
          <w:p w14:paraId="3445972D" w14:textId="77777777" w:rsidR="00112F64" w:rsidRPr="00112F64" w:rsidRDefault="00112F64" w:rsidP="002B358B">
            <w:pPr>
              <w:jc w:val="both"/>
            </w:pPr>
            <w:r w:rsidRPr="00112F64">
              <w:t xml:space="preserve">+28                              </w:t>
            </w:r>
          </w:p>
        </w:tc>
      </w:tr>
      <w:tr w:rsidR="00112F64" w:rsidRPr="00112F64" w14:paraId="23EA1D20" w14:textId="77777777" w:rsidTr="0047623E">
        <w:tc>
          <w:tcPr>
            <w:tcW w:w="1129" w:type="dxa"/>
          </w:tcPr>
          <w:p w14:paraId="6C8AB97F" w14:textId="77777777" w:rsidR="00112F64" w:rsidRPr="00112F64" w:rsidRDefault="00112F64" w:rsidP="002B358B">
            <w:pPr>
              <w:jc w:val="both"/>
            </w:pPr>
            <w:r w:rsidRPr="00112F64">
              <w:t>2020</w:t>
            </w:r>
          </w:p>
        </w:tc>
        <w:tc>
          <w:tcPr>
            <w:tcW w:w="2410" w:type="dxa"/>
          </w:tcPr>
          <w:p w14:paraId="20FB34A6" w14:textId="77777777" w:rsidR="00112F64" w:rsidRPr="00112F64" w:rsidRDefault="00112F64" w:rsidP="002B358B">
            <w:pPr>
              <w:jc w:val="both"/>
            </w:pPr>
            <w:r w:rsidRPr="00112F64">
              <w:t>205</w:t>
            </w:r>
          </w:p>
        </w:tc>
        <w:tc>
          <w:tcPr>
            <w:tcW w:w="2071" w:type="dxa"/>
          </w:tcPr>
          <w:p w14:paraId="601F935A" w14:textId="77777777" w:rsidR="00112F64" w:rsidRPr="00112F64" w:rsidRDefault="00112F64" w:rsidP="002B358B">
            <w:pPr>
              <w:jc w:val="both"/>
            </w:pPr>
            <w:r w:rsidRPr="00112F64">
              <w:t xml:space="preserve">221  </w:t>
            </w:r>
          </w:p>
        </w:tc>
        <w:tc>
          <w:tcPr>
            <w:tcW w:w="1870" w:type="dxa"/>
          </w:tcPr>
          <w:p w14:paraId="3664D5BD" w14:textId="77777777" w:rsidR="00112F64" w:rsidRPr="00112F64" w:rsidRDefault="00112F64" w:rsidP="002B358B">
            <w:pPr>
              <w:jc w:val="both"/>
            </w:pPr>
            <w:r w:rsidRPr="00112F64">
              <w:t xml:space="preserve">205   </w:t>
            </w:r>
          </w:p>
        </w:tc>
        <w:tc>
          <w:tcPr>
            <w:tcW w:w="1870" w:type="dxa"/>
          </w:tcPr>
          <w:p w14:paraId="556878AB" w14:textId="77777777" w:rsidR="00112F64" w:rsidRPr="00112F64" w:rsidRDefault="00112F64" w:rsidP="002B358B">
            <w:pPr>
              <w:jc w:val="both"/>
            </w:pPr>
            <w:r w:rsidRPr="00112F64">
              <w:t xml:space="preserve">+16                              </w:t>
            </w:r>
          </w:p>
        </w:tc>
      </w:tr>
      <w:tr w:rsidR="00112F64" w:rsidRPr="00112F64" w14:paraId="5C288048" w14:textId="77777777" w:rsidTr="0047623E">
        <w:tc>
          <w:tcPr>
            <w:tcW w:w="1129" w:type="dxa"/>
          </w:tcPr>
          <w:p w14:paraId="676C28C4" w14:textId="77777777" w:rsidR="00112F64" w:rsidRPr="00112F64" w:rsidRDefault="00112F64" w:rsidP="002B358B">
            <w:pPr>
              <w:jc w:val="both"/>
            </w:pPr>
            <w:r w:rsidRPr="00112F64">
              <w:t>2021</w:t>
            </w:r>
          </w:p>
        </w:tc>
        <w:tc>
          <w:tcPr>
            <w:tcW w:w="2410" w:type="dxa"/>
          </w:tcPr>
          <w:p w14:paraId="3B64E6BB" w14:textId="77777777" w:rsidR="00112F64" w:rsidRPr="00112F64" w:rsidRDefault="00112F64" w:rsidP="002B358B">
            <w:pPr>
              <w:jc w:val="both"/>
            </w:pPr>
            <w:r w:rsidRPr="00112F64">
              <w:t xml:space="preserve">209  </w:t>
            </w:r>
          </w:p>
        </w:tc>
        <w:tc>
          <w:tcPr>
            <w:tcW w:w="2071" w:type="dxa"/>
          </w:tcPr>
          <w:p w14:paraId="28F4739E" w14:textId="77777777" w:rsidR="00112F64" w:rsidRPr="00112F64" w:rsidRDefault="00112F64" w:rsidP="002B358B">
            <w:pPr>
              <w:jc w:val="both"/>
            </w:pPr>
            <w:r w:rsidRPr="00112F64">
              <w:t xml:space="preserve">257   </w:t>
            </w:r>
          </w:p>
        </w:tc>
        <w:tc>
          <w:tcPr>
            <w:tcW w:w="1870" w:type="dxa"/>
          </w:tcPr>
          <w:p w14:paraId="45044C84" w14:textId="77777777" w:rsidR="00112F64" w:rsidRPr="00112F64" w:rsidRDefault="00112F64" w:rsidP="002B358B">
            <w:pPr>
              <w:jc w:val="both"/>
            </w:pPr>
            <w:r w:rsidRPr="00112F64">
              <w:t>209</w:t>
            </w:r>
          </w:p>
        </w:tc>
        <w:tc>
          <w:tcPr>
            <w:tcW w:w="1870" w:type="dxa"/>
          </w:tcPr>
          <w:p w14:paraId="50F82ECE" w14:textId="77777777" w:rsidR="00112F64" w:rsidRPr="00112F64" w:rsidRDefault="00112F64" w:rsidP="002B358B">
            <w:pPr>
              <w:jc w:val="both"/>
            </w:pPr>
            <w:r w:rsidRPr="00112F64">
              <w:t>+48</w:t>
            </w:r>
          </w:p>
        </w:tc>
      </w:tr>
      <w:tr w:rsidR="00112F64" w:rsidRPr="00112F64" w14:paraId="5D9FCB70" w14:textId="77777777" w:rsidTr="0047623E">
        <w:tc>
          <w:tcPr>
            <w:tcW w:w="1129" w:type="dxa"/>
          </w:tcPr>
          <w:p w14:paraId="18CE3621" w14:textId="77777777" w:rsidR="00112F64" w:rsidRPr="00112F64" w:rsidRDefault="00112F64" w:rsidP="002B358B">
            <w:pPr>
              <w:jc w:val="both"/>
            </w:pPr>
            <w:r w:rsidRPr="00112F64">
              <w:t>2022</w:t>
            </w:r>
          </w:p>
        </w:tc>
        <w:tc>
          <w:tcPr>
            <w:tcW w:w="2410" w:type="dxa"/>
          </w:tcPr>
          <w:p w14:paraId="39FF6003" w14:textId="77777777" w:rsidR="00112F64" w:rsidRPr="00112F64" w:rsidRDefault="00112F64" w:rsidP="002B358B">
            <w:pPr>
              <w:jc w:val="both"/>
            </w:pPr>
            <w:r w:rsidRPr="00112F64">
              <w:t>178</w:t>
            </w:r>
          </w:p>
        </w:tc>
        <w:tc>
          <w:tcPr>
            <w:tcW w:w="2071" w:type="dxa"/>
          </w:tcPr>
          <w:p w14:paraId="15132CA2" w14:textId="77777777" w:rsidR="00112F64" w:rsidRPr="00112F64" w:rsidRDefault="00112F64" w:rsidP="002B358B">
            <w:pPr>
              <w:jc w:val="both"/>
            </w:pPr>
            <w:r w:rsidRPr="00112F64">
              <w:t xml:space="preserve">208  </w:t>
            </w:r>
          </w:p>
        </w:tc>
        <w:tc>
          <w:tcPr>
            <w:tcW w:w="1870" w:type="dxa"/>
          </w:tcPr>
          <w:p w14:paraId="1BA3F8A7" w14:textId="77777777" w:rsidR="00112F64" w:rsidRPr="00112F64" w:rsidRDefault="00112F64" w:rsidP="002B358B">
            <w:pPr>
              <w:jc w:val="both"/>
            </w:pPr>
            <w:r w:rsidRPr="00112F64">
              <w:t>178</w:t>
            </w:r>
          </w:p>
        </w:tc>
        <w:tc>
          <w:tcPr>
            <w:tcW w:w="1870" w:type="dxa"/>
          </w:tcPr>
          <w:p w14:paraId="7C86E22D" w14:textId="77777777" w:rsidR="00112F64" w:rsidRPr="00112F64" w:rsidRDefault="00112F64" w:rsidP="002B358B">
            <w:pPr>
              <w:jc w:val="both"/>
            </w:pPr>
            <w:r w:rsidRPr="00112F64">
              <w:t>+30</w:t>
            </w:r>
          </w:p>
        </w:tc>
      </w:tr>
      <w:tr w:rsidR="00112F64" w:rsidRPr="00112F64" w14:paraId="6A7362FC" w14:textId="77777777" w:rsidTr="0047623E">
        <w:tc>
          <w:tcPr>
            <w:tcW w:w="1129" w:type="dxa"/>
          </w:tcPr>
          <w:p w14:paraId="564C6187" w14:textId="77777777" w:rsidR="00112F64" w:rsidRPr="00112F64" w:rsidRDefault="00112F64" w:rsidP="002B358B">
            <w:pPr>
              <w:jc w:val="both"/>
            </w:pPr>
            <w:r w:rsidRPr="00112F64">
              <w:t>2023</w:t>
            </w:r>
          </w:p>
        </w:tc>
        <w:tc>
          <w:tcPr>
            <w:tcW w:w="2410" w:type="dxa"/>
          </w:tcPr>
          <w:p w14:paraId="4B4649B7" w14:textId="77777777" w:rsidR="00112F64" w:rsidRPr="00112F64" w:rsidRDefault="00112F64" w:rsidP="002B358B">
            <w:pPr>
              <w:jc w:val="both"/>
            </w:pPr>
            <w:r w:rsidRPr="00112F64">
              <w:t>221</w:t>
            </w:r>
          </w:p>
        </w:tc>
        <w:tc>
          <w:tcPr>
            <w:tcW w:w="2071" w:type="dxa"/>
          </w:tcPr>
          <w:p w14:paraId="6286CADE" w14:textId="77777777" w:rsidR="00112F64" w:rsidRPr="00112F64" w:rsidRDefault="00112F64" w:rsidP="002B358B">
            <w:pPr>
              <w:jc w:val="both"/>
            </w:pPr>
            <w:r w:rsidRPr="00112F64">
              <w:t>239</w:t>
            </w:r>
          </w:p>
        </w:tc>
        <w:tc>
          <w:tcPr>
            <w:tcW w:w="1870" w:type="dxa"/>
          </w:tcPr>
          <w:p w14:paraId="68219B3C" w14:textId="77777777" w:rsidR="00112F64" w:rsidRPr="00112F64" w:rsidRDefault="00112F64" w:rsidP="002B358B">
            <w:pPr>
              <w:jc w:val="both"/>
            </w:pPr>
            <w:r w:rsidRPr="00112F64">
              <w:t>221</w:t>
            </w:r>
          </w:p>
        </w:tc>
        <w:tc>
          <w:tcPr>
            <w:tcW w:w="1870" w:type="dxa"/>
          </w:tcPr>
          <w:p w14:paraId="6C4D3EE9" w14:textId="77777777" w:rsidR="00112F64" w:rsidRPr="00112F64" w:rsidRDefault="00112F64" w:rsidP="002B358B">
            <w:pPr>
              <w:jc w:val="both"/>
            </w:pPr>
            <w:r w:rsidRPr="00112F64">
              <w:t xml:space="preserve">+18                              </w:t>
            </w:r>
          </w:p>
        </w:tc>
      </w:tr>
      <w:tr w:rsidR="00112F64" w:rsidRPr="00112F64" w14:paraId="085406AE" w14:textId="77777777" w:rsidTr="0047623E">
        <w:tc>
          <w:tcPr>
            <w:tcW w:w="1129" w:type="dxa"/>
          </w:tcPr>
          <w:p w14:paraId="67A93E94" w14:textId="77777777" w:rsidR="00112F64" w:rsidRPr="00112F64" w:rsidRDefault="00112F64" w:rsidP="002B358B">
            <w:pPr>
              <w:jc w:val="both"/>
            </w:pPr>
            <w:r w:rsidRPr="00112F64">
              <w:t>2024</w:t>
            </w:r>
          </w:p>
        </w:tc>
        <w:tc>
          <w:tcPr>
            <w:tcW w:w="2410" w:type="dxa"/>
          </w:tcPr>
          <w:p w14:paraId="62D29638" w14:textId="77777777" w:rsidR="00112F64" w:rsidRPr="00112F64" w:rsidRDefault="00112F64" w:rsidP="002B358B">
            <w:pPr>
              <w:jc w:val="both"/>
            </w:pPr>
            <w:r w:rsidRPr="00112F64">
              <w:t>240</w:t>
            </w:r>
          </w:p>
        </w:tc>
        <w:tc>
          <w:tcPr>
            <w:tcW w:w="2071" w:type="dxa"/>
          </w:tcPr>
          <w:p w14:paraId="43D9D61C" w14:textId="77777777" w:rsidR="00112F64" w:rsidRPr="00112F64" w:rsidRDefault="00112F64" w:rsidP="002B358B">
            <w:pPr>
              <w:jc w:val="both"/>
            </w:pPr>
            <w:r w:rsidRPr="00112F64">
              <w:t>265</w:t>
            </w:r>
          </w:p>
        </w:tc>
        <w:tc>
          <w:tcPr>
            <w:tcW w:w="1870" w:type="dxa"/>
          </w:tcPr>
          <w:p w14:paraId="16F7BC01" w14:textId="77777777" w:rsidR="00112F64" w:rsidRPr="00112F64" w:rsidRDefault="00112F64" w:rsidP="002B358B">
            <w:pPr>
              <w:jc w:val="both"/>
            </w:pPr>
            <w:r w:rsidRPr="00112F64">
              <w:t>240</w:t>
            </w:r>
          </w:p>
        </w:tc>
        <w:tc>
          <w:tcPr>
            <w:tcW w:w="1870" w:type="dxa"/>
          </w:tcPr>
          <w:p w14:paraId="38F41EF2" w14:textId="77777777" w:rsidR="00112F64" w:rsidRPr="00112F64" w:rsidRDefault="00112F64" w:rsidP="002B358B">
            <w:pPr>
              <w:jc w:val="both"/>
            </w:pPr>
            <w:r w:rsidRPr="00112F64">
              <w:t xml:space="preserve">+25                              </w:t>
            </w:r>
          </w:p>
        </w:tc>
      </w:tr>
    </w:tbl>
    <w:p w14:paraId="1A90EFBE" w14:textId="77777777" w:rsidR="00112F64" w:rsidRPr="00112F64" w:rsidRDefault="00112F64" w:rsidP="002B358B">
      <w:pPr>
        <w:spacing w:line="360" w:lineRule="auto"/>
        <w:jc w:val="both"/>
      </w:pPr>
      <w:r w:rsidRPr="00112F64">
        <w:tab/>
      </w:r>
      <w:r w:rsidRPr="00112F64">
        <w:tab/>
      </w:r>
      <w:r w:rsidRPr="00112F64">
        <w:tab/>
      </w:r>
      <w:r w:rsidRPr="00112F64">
        <w:tab/>
      </w:r>
      <w:r w:rsidRPr="00112F64">
        <w:tab/>
      </w:r>
      <w:r w:rsidRPr="00112F64">
        <w:tab/>
      </w:r>
      <w:r w:rsidRPr="00112F64">
        <w:tab/>
      </w:r>
      <w:r w:rsidRPr="00112F64">
        <w:tab/>
      </w:r>
      <w:r w:rsidRPr="00112F64">
        <w:tab/>
      </w:r>
      <w:r w:rsidRPr="00112F64">
        <w:rPr>
          <w:i/>
          <w:iCs/>
          <w:color w:val="000000" w:themeColor="text1"/>
        </w:rPr>
        <w:t>Source: City of Harare</w:t>
      </w:r>
    </w:p>
    <w:p w14:paraId="454A1E25" w14:textId="11BDCAC7" w:rsidR="00112F64" w:rsidRPr="00ED0CCF" w:rsidRDefault="00112F64">
      <w:pPr>
        <w:numPr>
          <w:ilvl w:val="0"/>
          <w:numId w:val="12"/>
        </w:numPr>
        <w:spacing w:line="360" w:lineRule="auto"/>
        <w:contextualSpacing/>
        <w:jc w:val="both"/>
        <w:rPr>
          <w:color w:val="000000" w:themeColor="text1"/>
        </w:rPr>
      </w:pPr>
      <w:r w:rsidRPr="00ED0CCF">
        <w:rPr>
          <w:color w:val="000000" w:themeColor="text1"/>
        </w:rPr>
        <w:t xml:space="preserve">Coverage gaps </w:t>
      </w:r>
      <w:r w:rsidR="00ED0CCF" w:rsidRPr="00ED0CCF">
        <w:rPr>
          <w:color w:val="000000" w:themeColor="text1"/>
        </w:rPr>
        <w:t>in</w:t>
      </w:r>
      <w:r w:rsidRPr="00ED0CCF">
        <w:rPr>
          <w:color w:val="000000" w:themeColor="text1"/>
        </w:rPr>
        <w:t xml:space="preserve"> region</w:t>
      </w:r>
    </w:p>
    <w:p w14:paraId="47734E47" w14:textId="77777777" w:rsidR="00112F64" w:rsidRPr="00ED0CCF" w:rsidRDefault="00112F64" w:rsidP="002B358B">
      <w:pPr>
        <w:spacing w:line="360" w:lineRule="auto"/>
        <w:jc w:val="both"/>
        <w:rPr>
          <w:color w:val="000000" w:themeColor="text1"/>
        </w:rPr>
      </w:pPr>
      <w:r w:rsidRPr="00ED0CCF">
        <w:rPr>
          <w:color w:val="000000" w:themeColor="text1"/>
        </w:rPr>
        <w:t>The Fire Brigade Structure and Its Needs</w:t>
      </w:r>
    </w:p>
    <w:p w14:paraId="2D8ED5A8" w14:textId="77777777" w:rsidR="00112F64" w:rsidRPr="00112F64" w:rsidRDefault="00112F64" w:rsidP="002B358B">
      <w:pPr>
        <w:spacing w:line="360" w:lineRule="auto"/>
        <w:jc w:val="both"/>
        <w:rPr>
          <w:color w:val="000000" w:themeColor="text1"/>
        </w:rPr>
      </w:pPr>
      <w:r w:rsidRPr="00112F64">
        <w:rPr>
          <w:color w:val="000000" w:themeColor="text1"/>
        </w:rPr>
        <w:t>The current organization of the city’s fire protection services is built around four primary Fire Stations, each positioned to serve distinct geographic sectors and to provide mutual support as needed. The Central Fire Station, located at the intersection of Belvedere Road and Rekayi Tangwena Road, functions as the Emergency Services Headquarters. It plays a pivotal role in coordinating responses and ensuring rapid deployment across the city’s core commercial districts and industrial areas. In addition to its leadership duties, the Central Fire Station also offers back-up support to the other three stations, reinforcing the overall capacity of the brigade during large-scale incidents or periods of high demand.</w:t>
      </w:r>
    </w:p>
    <w:p w14:paraId="5BA75C08" w14:textId="77777777" w:rsidR="00112F64" w:rsidRPr="00112F64" w:rsidRDefault="00112F64" w:rsidP="002B358B">
      <w:pPr>
        <w:spacing w:line="360" w:lineRule="auto"/>
        <w:jc w:val="both"/>
        <w:rPr>
          <w:color w:val="000000" w:themeColor="text1"/>
        </w:rPr>
      </w:pPr>
    </w:p>
    <w:p w14:paraId="3E827C1E" w14:textId="77777777" w:rsidR="00112F64" w:rsidRPr="00112F64" w:rsidRDefault="00112F64" w:rsidP="002B358B">
      <w:pPr>
        <w:spacing w:line="360" w:lineRule="auto"/>
        <w:jc w:val="both"/>
        <w:rPr>
          <w:color w:val="000000" w:themeColor="text1"/>
        </w:rPr>
      </w:pPr>
      <w:r w:rsidRPr="00112F64">
        <w:rPr>
          <w:color w:val="000000" w:themeColor="text1"/>
        </w:rPr>
        <w:t>Greendale Fire Station sits at the corner of Kennedy Drive and Coronation Avenue in Greendale and is charged with providing emergency coverage for the northern suburbs and their associated industries. Waterfalls Fire Station is situated along Masotsha Ndlovu Road in Waterfalls and supplies emergency services to the southern suburbs and industries. Kuwadzana Fire Station is positioned along High-Glen Road, just after the Bulawayo Road roundabout, and it serves the northwestern suburbs and their industrial zones. Taken together, these four stations form a network intended to deliver timely responses across different sectors of the city, with each station contributing specialized coverage and the capacity for mutual aid when needed.</w:t>
      </w:r>
    </w:p>
    <w:p w14:paraId="2EE0633E" w14:textId="77777777" w:rsidR="00112F64" w:rsidRPr="00112F64" w:rsidRDefault="00112F64" w:rsidP="002B358B">
      <w:pPr>
        <w:spacing w:line="360" w:lineRule="auto"/>
        <w:jc w:val="both"/>
        <w:rPr>
          <w:color w:val="000000" w:themeColor="text1"/>
        </w:rPr>
      </w:pPr>
    </w:p>
    <w:p w14:paraId="714BFAEA" w14:textId="77777777" w:rsidR="00112F64" w:rsidRPr="00112F64" w:rsidRDefault="00112F64" w:rsidP="002B358B">
      <w:pPr>
        <w:spacing w:line="360" w:lineRule="auto"/>
        <w:jc w:val="both"/>
        <w:rPr>
          <w:color w:val="000000" w:themeColor="text1"/>
        </w:rPr>
      </w:pPr>
      <w:r w:rsidRPr="00112F64">
        <w:rPr>
          <w:color w:val="000000" w:themeColor="text1"/>
        </w:rPr>
        <w:lastRenderedPageBreak/>
        <w:t>Despite this arrangement, the existing four-station network is inadequate for a city of Harare’s size. The goal of delivering prompt and effective emergency response requires more than the current capacity can guarantee. To meet international standards of performance, there is a proposal to expand the network by constructing six additional fire stations. The proposed sites—Marlborough, Mount Pleasant, Park-meadowlands, Gaydon, Pomona, and Budiriro are envisioned to create a more robust, evenly distributed system. The objective of this expansion is to achieve an average response time of five minutes to any emergency, thereby enhancing the city’s ability to protect lives and property.</w:t>
      </w:r>
    </w:p>
    <w:p w14:paraId="0AE5E875" w14:textId="77777777" w:rsidR="00112F64" w:rsidRPr="00112F64" w:rsidRDefault="00112F64" w:rsidP="002B358B">
      <w:pPr>
        <w:spacing w:line="360" w:lineRule="auto"/>
        <w:jc w:val="both"/>
        <w:rPr>
          <w:color w:val="000000" w:themeColor="text1"/>
        </w:rPr>
      </w:pPr>
    </w:p>
    <w:p w14:paraId="31139750" w14:textId="77777777" w:rsidR="00112F64" w:rsidRPr="00112F64" w:rsidRDefault="00112F64">
      <w:pPr>
        <w:numPr>
          <w:ilvl w:val="0"/>
          <w:numId w:val="12"/>
        </w:numPr>
        <w:spacing w:line="360" w:lineRule="auto"/>
        <w:contextualSpacing/>
        <w:jc w:val="both"/>
        <w:rPr>
          <w:b/>
          <w:bCs/>
          <w:color w:val="000000" w:themeColor="text1"/>
        </w:rPr>
      </w:pPr>
      <w:r w:rsidRPr="00112F64">
        <w:rPr>
          <w:b/>
          <w:bCs/>
          <w:color w:val="000000" w:themeColor="text1"/>
        </w:rPr>
        <w:t>Resource adequacy indicators (staffing levels, equipment availability)</w:t>
      </w:r>
    </w:p>
    <w:p w14:paraId="57A0A47D" w14:textId="77777777" w:rsidR="00112F64" w:rsidRPr="00112F64" w:rsidRDefault="00112F64">
      <w:pPr>
        <w:numPr>
          <w:ilvl w:val="0"/>
          <w:numId w:val="13"/>
        </w:numPr>
        <w:spacing w:line="360" w:lineRule="auto"/>
        <w:contextualSpacing/>
        <w:jc w:val="both"/>
        <w:rPr>
          <w:b/>
          <w:bCs/>
        </w:rPr>
      </w:pPr>
      <w:r w:rsidRPr="00112F64">
        <w:rPr>
          <w:b/>
          <w:bCs/>
        </w:rPr>
        <w:t>Manpower Establishment</w:t>
      </w:r>
    </w:p>
    <w:p w14:paraId="609AE777" w14:textId="31AEBA4A" w:rsidR="00206789" w:rsidRPr="00112F64" w:rsidRDefault="00206789" w:rsidP="002B358B">
      <w:pPr>
        <w:spacing w:line="360" w:lineRule="auto"/>
        <w:contextualSpacing/>
        <w:jc w:val="both"/>
        <w:rPr>
          <w:b/>
          <w:bCs/>
        </w:rPr>
      </w:pPr>
      <w:r>
        <w:rPr>
          <w:b/>
          <w:bCs/>
          <w:color w:val="000000" w:themeColor="text1"/>
        </w:rPr>
        <w:t>Table 4.39</w:t>
      </w:r>
      <w:r w:rsidRPr="00206789">
        <w:rPr>
          <w:b/>
          <w:bCs/>
        </w:rPr>
        <w:t xml:space="preserve"> </w:t>
      </w:r>
      <w:r w:rsidRPr="00112F64">
        <w:rPr>
          <w:b/>
          <w:bCs/>
        </w:rPr>
        <w:t>Manpower Establishment</w:t>
      </w:r>
    </w:p>
    <w:p w14:paraId="48D333BD" w14:textId="4318488F" w:rsidR="00112F64" w:rsidRPr="00112F64" w:rsidRDefault="00112F64" w:rsidP="002B358B">
      <w:pPr>
        <w:spacing w:line="360" w:lineRule="auto"/>
        <w:jc w:val="both"/>
        <w:rPr>
          <w:b/>
          <w:bCs/>
          <w:color w:val="000000" w:themeColor="text1"/>
        </w:rPr>
      </w:pPr>
    </w:p>
    <w:tbl>
      <w:tblPr>
        <w:tblStyle w:val="TableGrid"/>
        <w:tblW w:w="0" w:type="auto"/>
        <w:tblLook w:val="04A0" w:firstRow="1" w:lastRow="0" w:firstColumn="1" w:lastColumn="0" w:noHBand="0" w:noVBand="1"/>
      </w:tblPr>
      <w:tblGrid>
        <w:gridCol w:w="2464"/>
        <w:gridCol w:w="2457"/>
        <w:gridCol w:w="2198"/>
        <w:gridCol w:w="2231"/>
      </w:tblGrid>
      <w:tr w:rsidR="00112F64" w:rsidRPr="00112F64" w14:paraId="3C90BC28" w14:textId="77777777" w:rsidTr="0047623E">
        <w:tc>
          <w:tcPr>
            <w:tcW w:w="2464" w:type="dxa"/>
          </w:tcPr>
          <w:p w14:paraId="6974BBD0" w14:textId="77777777" w:rsidR="00112F64" w:rsidRPr="00112F64" w:rsidRDefault="00112F64" w:rsidP="002B358B">
            <w:pPr>
              <w:jc w:val="both"/>
            </w:pPr>
            <w:r w:rsidRPr="00112F64">
              <w:t>Section</w:t>
            </w:r>
          </w:p>
        </w:tc>
        <w:tc>
          <w:tcPr>
            <w:tcW w:w="2457" w:type="dxa"/>
          </w:tcPr>
          <w:p w14:paraId="3E5618D1" w14:textId="77777777" w:rsidR="00112F64" w:rsidRPr="00112F64" w:rsidRDefault="00112F64" w:rsidP="002B358B">
            <w:pPr>
              <w:jc w:val="both"/>
            </w:pPr>
            <w:r w:rsidRPr="00112F64">
              <w:t>Manpower Establishment</w:t>
            </w:r>
          </w:p>
        </w:tc>
        <w:tc>
          <w:tcPr>
            <w:tcW w:w="2198" w:type="dxa"/>
          </w:tcPr>
          <w:p w14:paraId="0802E63E" w14:textId="77777777" w:rsidR="00112F64" w:rsidRPr="00112F64" w:rsidRDefault="00112F64" w:rsidP="002B358B">
            <w:pPr>
              <w:jc w:val="both"/>
            </w:pPr>
            <w:r w:rsidRPr="00112F64">
              <w:t>Strength</w:t>
            </w:r>
          </w:p>
        </w:tc>
        <w:tc>
          <w:tcPr>
            <w:tcW w:w="2231" w:type="dxa"/>
          </w:tcPr>
          <w:p w14:paraId="7247839B" w14:textId="77777777" w:rsidR="00112F64" w:rsidRPr="00112F64" w:rsidRDefault="00112F64" w:rsidP="002B358B">
            <w:pPr>
              <w:jc w:val="both"/>
            </w:pPr>
            <w:r w:rsidRPr="00112F64">
              <w:t>Vacancies</w:t>
            </w:r>
          </w:p>
        </w:tc>
      </w:tr>
      <w:tr w:rsidR="00112F64" w:rsidRPr="00112F64" w14:paraId="66BD51AF" w14:textId="77777777" w:rsidTr="0047623E">
        <w:tc>
          <w:tcPr>
            <w:tcW w:w="2464" w:type="dxa"/>
          </w:tcPr>
          <w:p w14:paraId="178F2546" w14:textId="77777777" w:rsidR="00112F64" w:rsidRPr="00112F64" w:rsidRDefault="00112F64" w:rsidP="002B358B">
            <w:pPr>
              <w:jc w:val="both"/>
            </w:pPr>
            <w:r w:rsidRPr="00112F64">
              <w:t xml:space="preserve">Fire and rescue </w:t>
            </w:r>
          </w:p>
        </w:tc>
        <w:tc>
          <w:tcPr>
            <w:tcW w:w="2457" w:type="dxa"/>
          </w:tcPr>
          <w:p w14:paraId="6995A0A1" w14:textId="77777777" w:rsidR="00112F64" w:rsidRPr="00112F64" w:rsidRDefault="00112F64" w:rsidP="002B358B">
            <w:pPr>
              <w:jc w:val="both"/>
            </w:pPr>
            <w:r w:rsidRPr="00112F64">
              <w:t>253</w:t>
            </w:r>
          </w:p>
        </w:tc>
        <w:tc>
          <w:tcPr>
            <w:tcW w:w="2198" w:type="dxa"/>
          </w:tcPr>
          <w:p w14:paraId="2C403527" w14:textId="77777777" w:rsidR="00112F64" w:rsidRPr="00112F64" w:rsidRDefault="00112F64" w:rsidP="002B358B">
            <w:pPr>
              <w:jc w:val="both"/>
            </w:pPr>
            <w:r w:rsidRPr="00112F64">
              <w:t>174</w:t>
            </w:r>
          </w:p>
        </w:tc>
        <w:tc>
          <w:tcPr>
            <w:tcW w:w="2231" w:type="dxa"/>
          </w:tcPr>
          <w:p w14:paraId="3643EBE4" w14:textId="77777777" w:rsidR="00112F64" w:rsidRPr="00112F64" w:rsidRDefault="00112F64" w:rsidP="002B358B">
            <w:pPr>
              <w:jc w:val="both"/>
            </w:pPr>
            <w:r w:rsidRPr="00112F64">
              <w:t>79</w:t>
            </w:r>
          </w:p>
        </w:tc>
      </w:tr>
      <w:tr w:rsidR="00112F64" w:rsidRPr="00112F64" w14:paraId="593E14C4" w14:textId="77777777" w:rsidTr="0047623E">
        <w:tc>
          <w:tcPr>
            <w:tcW w:w="2464" w:type="dxa"/>
          </w:tcPr>
          <w:p w14:paraId="07F387D6" w14:textId="77777777" w:rsidR="00112F64" w:rsidRPr="00112F64" w:rsidRDefault="00112F64" w:rsidP="002B358B">
            <w:pPr>
              <w:jc w:val="both"/>
            </w:pPr>
            <w:r w:rsidRPr="00112F64">
              <w:t>Administration</w:t>
            </w:r>
          </w:p>
        </w:tc>
        <w:tc>
          <w:tcPr>
            <w:tcW w:w="2457" w:type="dxa"/>
          </w:tcPr>
          <w:p w14:paraId="24AEC761" w14:textId="77777777" w:rsidR="00112F64" w:rsidRPr="00112F64" w:rsidRDefault="00112F64" w:rsidP="002B358B">
            <w:pPr>
              <w:jc w:val="both"/>
            </w:pPr>
            <w:r w:rsidRPr="00112F64">
              <w:t xml:space="preserve"> 67</w:t>
            </w:r>
          </w:p>
        </w:tc>
        <w:tc>
          <w:tcPr>
            <w:tcW w:w="2198" w:type="dxa"/>
          </w:tcPr>
          <w:p w14:paraId="60239546" w14:textId="77777777" w:rsidR="00112F64" w:rsidRPr="00112F64" w:rsidRDefault="00112F64" w:rsidP="002B358B">
            <w:pPr>
              <w:jc w:val="both"/>
            </w:pPr>
            <w:r w:rsidRPr="00112F64">
              <w:t xml:space="preserve">  52</w:t>
            </w:r>
          </w:p>
        </w:tc>
        <w:tc>
          <w:tcPr>
            <w:tcW w:w="2231" w:type="dxa"/>
          </w:tcPr>
          <w:p w14:paraId="502291BE" w14:textId="77777777" w:rsidR="00112F64" w:rsidRPr="00112F64" w:rsidRDefault="00112F64" w:rsidP="002B358B">
            <w:pPr>
              <w:jc w:val="both"/>
            </w:pPr>
            <w:r w:rsidRPr="00112F64">
              <w:t>15</w:t>
            </w:r>
          </w:p>
        </w:tc>
      </w:tr>
      <w:tr w:rsidR="00112F64" w:rsidRPr="00112F64" w14:paraId="70510B7F" w14:textId="77777777" w:rsidTr="0047623E">
        <w:trPr>
          <w:trHeight w:val="70"/>
        </w:trPr>
        <w:tc>
          <w:tcPr>
            <w:tcW w:w="2464" w:type="dxa"/>
          </w:tcPr>
          <w:p w14:paraId="3DAF8EE0" w14:textId="77777777" w:rsidR="00112F64" w:rsidRPr="00112F64" w:rsidRDefault="00112F64" w:rsidP="002B358B">
            <w:pPr>
              <w:jc w:val="both"/>
            </w:pPr>
            <w:r w:rsidRPr="00112F64">
              <w:t>Total</w:t>
            </w:r>
          </w:p>
        </w:tc>
        <w:tc>
          <w:tcPr>
            <w:tcW w:w="2457" w:type="dxa"/>
          </w:tcPr>
          <w:p w14:paraId="130901E4" w14:textId="77777777" w:rsidR="00112F64" w:rsidRPr="00112F64" w:rsidRDefault="00112F64" w:rsidP="002B358B">
            <w:pPr>
              <w:jc w:val="both"/>
            </w:pPr>
            <w:r w:rsidRPr="00112F64">
              <w:t>320</w:t>
            </w:r>
          </w:p>
        </w:tc>
        <w:tc>
          <w:tcPr>
            <w:tcW w:w="2198" w:type="dxa"/>
          </w:tcPr>
          <w:p w14:paraId="5B9A4B7D" w14:textId="77777777" w:rsidR="00112F64" w:rsidRPr="00112F64" w:rsidRDefault="00112F64" w:rsidP="002B358B">
            <w:pPr>
              <w:jc w:val="both"/>
            </w:pPr>
            <w:r w:rsidRPr="00112F64">
              <w:t>226</w:t>
            </w:r>
          </w:p>
        </w:tc>
        <w:tc>
          <w:tcPr>
            <w:tcW w:w="2231" w:type="dxa"/>
          </w:tcPr>
          <w:p w14:paraId="494ED513" w14:textId="77777777" w:rsidR="00112F64" w:rsidRPr="00112F64" w:rsidRDefault="00112F64" w:rsidP="002B358B">
            <w:pPr>
              <w:jc w:val="both"/>
            </w:pPr>
            <w:r w:rsidRPr="00112F64">
              <w:t>94</w:t>
            </w:r>
          </w:p>
        </w:tc>
      </w:tr>
    </w:tbl>
    <w:p w14:paraId="7032FFEB" w14:textId="77777777" w:rsidR="00112F64" w:rsidRPr="00112F64" w:rsidRDefault="00112F64" w:rsidP="002B358B">
      <w:pPr>
        <w:spacing w:line="360" w:lineRule="auto"/>
        <w:jc w:val="both"/>
        <w:rPr>
          <w:i/>
          <w:iCs/>
          <w:color w:val="EE0000"/>
        </w:rPr>
      </w:pP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b/>
          <w:bCs/>
          <w:color w:val="EE0000"/>
        </w:rPr>
        <w:tab/>
      </w:r>
      <w:r w:rsidRPr="00112F64">
        <w:rPr>
          <w:i/>
          <w:iCs/>
          <w:color w:val="000000" w:themeColor="text1"/>
        </w:rPr>
        <w:t>Source: City of Harare</w:t>
      </w:r>
    </w:p>
    <w:p w14:paraId="6F90D314" w14:textId="77777777" w:rsidR="00112F64" w:rsidRPr="00112F64" w:rsidRDefault="00112F64" w:rsidP="002B358B">
      <w:pPr>
        <w:spacing w:line="360" w:lineRule="auto"/>
        <w:jc w:val="both"/>
        <w:rPr>
          <w:color w:val="000000" w:themeColor="text1"/>
        </w:rPr>
      </w:pPr>
      <w:r w:rsidRPr="00112F64">
        <w:rPr>
          <w:color w:val="000000" w:themeColor="text1"/>
        </w:rPr>
        <w:t>The data show staffing levels across sections, with an establishment of 320 and a current strength of 226, resulting in 94 vacancies (about 29.4% vacant). In Fire and Rescue, 253 established vs. 174 current yields 79 vacancies, and in Administration, 67 established vs. 52 current yields 15 vacancies. High vacancy rates can impair operational efficiency, response times, and service quality, especially in critical areas like Fire and Rescue, and must be addressed through recruitment and resource reallocation. Resource adequacy depends on balancing staffing with equipment readiness and ongoing monitoring, planning, and strategic actions to maintain optimal staffing, improve response capabilities, and ensure safety standards.</w:t>
      </w:r>
    </w:p>
    <w:p w14:paraId="2794483A" w14:textId="7EA3B2FB" w:rsidR="007543E4" w:rsidRPr="00112F64" w:rsidRDefault="00206789" w:rsidP="002B358B">
      <w:pPr>
        <w:spacing w:line="360" w:lineRule="auto"/>
        <w:contextualSpacing/>
        <w:jc w:val="both"/>
        <w:rPr>
          <w:b/>
          <w:bCs/>
          <w:color w:val="000000" w:themeColor="text1"/>
        </w:rPr>
      </w:pPr>
      <w:bookmarkStart w:id="113" w:name="_Hlk215434285"/>
      <w:r>
        <w:rPr>
          <w:color w:val="000000" w:themeColor="text1"/>
        </w:rPr>
        <w:t>Table 4.40</w:t>
      </w:r>
      <w:r w:rsidR="007543E4" w:rsidRPr="007543E4">
        <w:rPr>
          <w:b/>
          <w:bCs/>
          <w:color w:val="000000" w:themeColor="text1"/>
        </w:rPr>
        <w:t xml:space="preserve"> </w:t>
      </w:r>
      <w:r w:rsidR="007543E4" w:rsidRPr="00112F64">
        <w:rPr>
          <w:b/>
          <w:bCs/>
          <w:color w:val="000000" w:themeColor="text1"/>
        </w:rPr>
        <w:t xml:space="preserve">Resource adequacy indicators </w:t>
      </w:r>
    </w:p>
    <w:p w14:paraId="3F1D342C" w14:textId="7B26316F" w:rsidR="00112F64" w:rsidRPr="00112F64" w:rsidRDefault="00112F64" w:rsidP="002B358B">
      <w:pPr>
        <w:spacing w:line="360" w:lineRule="auto"/>
        <w:jc w:val="both"/>
        <w:rPr>
          <w:color w:val="000000" w:themeColor="text1"/>
        </w:rPr>
      </w:pPr>
    </w:p>
    <w:tbl>
      <w:tblPr>
        <w:tblStyle w:val="TableGrid"/>
        <w:tblW w:w="0" w:type="auto"/>
        <w:tblLook w:val="04A0" w:firstRow="1" w:lastRow="0" w:firstColumn="1" w:lastColumn="0" w:noHBand="0" w:noVBand="1"/>
      </w:tblPr>
      <w:tblGrid>
        <w:gridCol w:w="2847"/>
        <w:gridCol w:w="1397"/>
        <w:gridCol w:w="2005"/>
        <w:gridCol w:w="1791"/>
        <w:gridCol w:w="1310"/>
      </w:tblGrid>
      <w:tr w:rsidR="00112F64" w:rsidRPr="00112F64" w14:paraId="5C85EC2B" w14:textId="77777777" w:rsidTr="0047623E">
        <w:tc>
          <w:tcPr>
            <w:tcW w:w="2847" w:type="dxa"/>
          </w:tcPr>
          <w:bookmarkEnd w:id="113"/>
          <w:p w14:paraId="5E674DF4" w14:textId="77777777" w:rsidR="00112F64" w:rsidRPr="00112F64" w:rsidRDefault="00112F64" w:rsidP="002B358B">
            <w:pPr>
              <w:jc w:val="both"/>
              <w:rPr>
                <w:b/>
                <w:bCs/>
              </w:rPr>
            </w:pPr>
            <w:r w:rsidRPr="00112F64">
              <w:rPr>
                <w:b/>
                <w:bCs/>
              </w:rPr>
              <w:t>Assets as at 31 December 2024</w:t>
            </w:r>
          </w:p>
        </w:tc>
        <w:tc>
          <w:tcPr>
            <w:tcW w:w="1397" w:type="dxa"/>
          </w:tcPr>
          <w:p w14:paraId="3C267EE7" w14:textId="77777777" w:rsidR="00112F64" w:rsidRPr="00112F64" w:rsidRDefault="00112F64" w:rsidP="002B358B">
            <w:pPr>
              <w:jc w:val="both"/>
              <w:rPr>
                <w:b/>
                <w:bCs/>
              </w:rPr>
            </w:pPr>
            <w:r w:rsidRPr="00112F64">
              <w:rPr>
                <w:b/>
                <w:bCs/>
              </w:rPr>
              <w:t>Total</w:t>
            </w:r>
          </w:p>
        </w:tc>
        <w:tc>
          <w:tcPr>
            <w:tcW w:w="2005" w:type="dxa"/>
          </w:tcPr>
          <w:p w14:paraId="2BDF4806" w14:textId="77777777" w:rsidR="00112F64" w:rsidRPr="00112F64" w:rsidRDefault="00112F64" w:rsidP="002B358B">
            <w:pPr>
              <w:jc w:val="both"/>
              <w:rPr>
                <w:b/>
                <w:bCs/>
              </w:rPr>
            </w:pPr>
            <w:r w:rsidRPr="00112F64">
              <w:rPr>
                <w:b/>
                <w:bCs/>
              </w:rPr>
              <w:t>Functional</w:t>
            </w:r>
          </w:p>
        </w:tc>
        <w:tc>
          <w:tcPr>
            <w:tcW w:w="1791" w:type="dxa"/>
          </w:tcPr>
          <w:p w14:paraId="2FDADB6F" w14:textId="77777777" w:rsidR="00112F64" w:rsidRPr="00112F64" w:rsidRDefault="00112F64" w:rsidP="002B358B">
            <w:pPr>
              <w:jc w:val="both"/>
              <w:rPr>
                <w:b/>
                <w:bCs/>
              </w:rPr>
            </w:pPr>
            <w:r w:rsidRPr="00112F64">
              <w:rPr>
                <w:b/>
                <w:bCs/>
              </w:rPr>
              <w:t>Broken Down</w:t>
            </w:r>
          </w:p>
        </w:tc>
        <w:tc>
          <w:tcPr>
            <w:tcW w:w="1310" w:type="dxa"/>
          </w:tcPr>
          <w:p w14:paraId="7A20EF36" w14:textId="77777777" w:rsidR="00112F64" w:rsidRPr="00112F64" w:rsidRDefault="00112F64" w:rsidP="002B358B">
            <w:pPr>
              <w:jc w:val="both"/>
              <w:rPr>
                <w:b/>
                <w:bCs/>
              </w:rPr>
            </w:pPr>
            <w:r w:rsidRPr="00112F64">
              <w:rPr>
                <w:b/>
                <w:bCs/>
              </w:rPr>
              <w:t>Ideal</w:t>
            </w:r>
          </w:p>
        </w:tc>
      </w:tr>
      <w:tr w:rsidR="00112F64" w:rsidRPr="00112F64" w14:paraId="4AA75C84" w14:textId="77777777" w:rsidTr="0047623E">
        <w:tc>
          <w:tcPr>
            <w:tcW w:w="2847" w:type="dxa"/>
          </w:tcPr>
          <w:p w14:paraId="18C209B6" w14:textId="77777777" w:rsidR="00112F64" w:rsidRPr="00112F64" w:rsidRDefault="00112F64" w:rsidP="002B358B">
            <w:pPr>
              <w:jc w:val="both"/>
            </w:pPr>
            <w:r w:rsidRPr="00112F64">
              <w:t>Fire Trucks</w:t>
            </w:r>
          </w:p>
        </w:tc>
        <w:tc>
          <w:tcPr>
            <w:tcW w:w="1397" w:type="dxa"/>
          </w:tcPr>
          <w:p w14:paraId="66FB47A8" w14:textId="77777777" w:rsidR="00112F64" w:rsidRPr="00112F64" w:rsidRDefault="00112F64" w:rsidP="002B358B">
            <w:pPr>
              <w:jc w:val="both"/>
            </w:pPr>
            <w:r w:rsidRPr="00112F64">
              <w:t>22</w:t>
            </w:r>
          </w:p>
        </w:tc>
        <w:tc>
          <w:tcPr>
            <w:tcW w:w="2005" w:type="dxa"/>
          </w:tcPr>
          <w:p w14:paraId="50F8EF3E" w14:textId="77777777" w:rsidR="00112F64" w:rsidRPr="00112F64" w:rsidRDefault="00112F64" w:rsidP="002B358B">
            <w:pPr>
              <w:jc w:val="both"/>
            </w:pPr>
            <w:r w:rsidRPr="00112F64">
              <w:t>6</w:t>
            </w:r>
          </w:p>
        </w:tc>
        <w:tc>
          <w:tcPr>
            <w:tcW w:w="1791" w:type="dxa"/>
          </w:tcPr>
          <w:p w14:paraId="78FEF6FC" w14:textId="77777777" w:rsidR="00112F64" w:rsidRPr="00112F64" w:rsidRDefault="00112F64" w:rsidP="002B358B">
            <w:pPr>
              <w:jc w:val="both"/>
            </w:pPr>
            <w:r w:rsidRPr="00112F64">
              <w:t>16</w:t>
            </w:r>
          </w:p>
        </w:tc>
        <w:tc>
          <w:tcPr>
            <w:tcW w:w="1310" w:type="dxa"/>
          </w:tcPr>
          <w:p w14:paraId="68561D1A" w14:textId="77777777" w:rsidR="00112F64" w:rsidRPr="00112F64" w:rsidRDefault="00112F64" w:rsidP="002B358B">
            <w:pPr>
              <w:jc w:val="both"/>
            </w:pPr>
            <w:r w:rsidRPr="00112F64">
              <w:t>25</w:t>
            </w:r>
          </w:p>
        </w:tc>
      </w:tr>
      <w:tr w:rsidR="00112F64" w:rsidRPr="00112F64" w14:paraId="6AB6F0F2" w14:textId="77777777" w:rsidTr="0047623E">
        <w:tc>
          <w:tcPr>
            <w:tcW w:w="2847" w:type="dxa"/>
          </w:tcPr>
          <w:p w14:paraId="11950747" w14:textId="77777777" w:rsidR="00112F64" w:rsidRPr="00112F64" w:rsidRDefault="00112F64" w:rsidP="002B358B">
            <w:pPr>
              <w:jc w:val="both"/>
            </w:pPr>
            <w:r w:rsidRPr="00112F64">
              <w:t>Service Vehicles (fire prevention)</w:t>
            </w:r>
          </w:p>
        </w:tc>
        <w:tc>
          <w:tcPr>
            <w:tcW w:w="1397" w:type="dxa"/>
          </w:tcPr>
          <w:p w14:paraId="1D44E1AC" w14:textId="77777777" w:rsidR="00112F64" w:rsidRPr="00112F64" w:rsidRDefault="00112F64" w:rsidP="002B358B">
            <w:pPr>
              <w:jc w:val="both"/>
            </w:pPr>
            <w:r w:rsidRPr="00112F64">
              <w:t xml:space="preserve">            9</w:t>
            </w:r>
          </w:p>
        </w:tc>
        <w:tc>
          <w:tcPr>
            <w:tcW w:w="2005" w:type="dxa"/>
          </w:tcPr>
          <w:p w14:paraId="769243C5" w14:textId="77777777" w:rsidR="00112F64" w:rsidRPr="00112F64" w:rsidRDefault="00112F64" w:rsidP="002B358B">
            <w:pPr>
              <w:jc w:val="both"/>
            </w:pPr>
            <w:r w:rsidRPr="00112F64">
              <w:t>6</w:t>
            </w:r>
          </w:p>
        </w:tc>
        <w:tc>
          <w:tcPr>
            <w:tcW w:w="1791" w:type="dxa"/>
          </w:tcPr>
          <w:p w14:paraId="643ED6EC" w14:textId="77777777" w:rsidR="00112F64" w:rsidRPr="00112F64" w:rsidRDefault="00112F64" w:rsidP="002B358B">
            <w:pPr>
              <w:jc w:val="both"/>
            </w:pPr>
            <w:r w:rsidRPr="00112F64">
              <w:t>3</w:t>
            </w:r>
          </w:p>
        </w:tc>
        <w:tc>
          <w:tcPr>
            <w:tcW w:w="1310" w:type="dxa"/>
          </w:tcPr>
          <w:p w14:paraId="59C80D66" w14:textId="77777777" w:rsidR="00112F64" w:rsidRPr="00112F64" w:rsidRDefault="00112F64" w:rsidP="002B358B">
            <w:pPr>
              <w:jc w:val="both"/>
            </w:pPr>
            <w:r w:rsidRPr="00112F64">
              <w:t>14</w:t>
            </w:r>
          </w:p>
        </w:tc>
      </w:tr>
      <w:tr w:rsidR="00112F64" w:rsidRPr="00112F64" w14:paraId="7E187D15" w14:textId="77777777" w:rsidTr="0047623E">
        <w:tc>
          <w:tcPr>
            <w:tcW w:w="2847" w:type="dxa"/>
          </w:tcPr>
          <w:p w14:paraId="07466D87" w14:textId="77777777" w:rsidR="00112F64" w:rsidRPr="00112F64" w:rsidRDefault="00112F64" w:rsidP="002B358B">
            <w:pPr>
              <w:jc w:val="both"/>
            </w:pPr>
            <w:r w:rsidRPr="00112F64">
              <w:lastRenderedPageBreak/>
              <w:t>Aerial Ladders</w:t>
            </w:r>
          </w:p>
        </w:tc>
        <w:tc>
          <w:tcPr>
            <w:tcW w:w="1397" w:type="dxa"/>
            <w:shd w:val="clear" w:color="auto" w:fill="FFFFFF" w:themeFill="background1"/>
          </w:tcPr>
          <w:p w14:paraId="33E47FF4" w14:textId="77777777" w:rsidR="00112F64" w:rsidRPr="00112F64" w:rsidRDefault="00112F64" w:rsidP="002B358B">
            <w:pPr>
              <w:jc w:val="both"/>
            </w:pPr>
            <w:r w:rsidRPr="00112F64">
              <w:t>5</w:t>
            </w:r>
          </w:p>
        </w:tc>
        <w:tc>
          <w:tcPr>
            <w:tcW w:w="2005" w:type="dxa"/>
            <w:shd w:val="clear" w:color="auto" w:fill="FFFFFF" w:themeFill="background1"/>
          </w:tcPr>
          <w:p w14:paraId="600D780C" w14:textId="77777777" w:rsidR="00112F64" w:rsidRPr="00112F64" w:rsidRDefault="00112F64" w:rsidP="002B358B">
            <w:pPr>
              <w:jc w:val="both"/>
            </w:pPr>
            <w:r w:rsidRPr="00112F64">
              <w:t>0</w:t>
            </w:r>
          </w:p>
        </w:tc>
        <w:tc>
          <w:tcPr>
            <w:tcW w:w="1791" w:type="dxa"/>
            <w:shd w:val="clear" w:color="auto" w:fill="FFFFFF" w:themeFill="background1"/>
          </w:tcPr>
          <w:p w14:paraId="7FC35E57" w14:textId="77777777" w:rsidR="00112F64" w:rsidRPr="00112F64" w:rsidRDefault="00112F64" w:rsidP="002B358B">
            <w:pPr>
              <w:jc w:val="both"/>
            </w:pPr>
            <w:r w:rsidRPr="00112F64">
              <w:t>5</w:t>
            </w:r>
          </w:p>
        </w:tc>
        <w:tc>
          <w:tcPr>
            <w:tcW w:w="1310" w:type="dxa"/>
            <w:shd w:val="clear" w:color="auto" w:fill="FFFFFF" w:themeFill="background1"/>
          </w:tcPr>
          <w:p w14:paraId="050724B9" w14:textId="77777777" w:rsidR="00112F64" w:rsidRPr="00112F64" w:rsidRDefault="00112F64" w:rsidP="002B358B">
            <w:pPr>
              <w:jc w:val="both"/>
            </w:pPr>
            <w:r w:rsidRPr="00112F64">
              <w:t>6</w:t>
            </w:r>
          </w:p>
        </w:tc>
      </w:tr>
      <w:tr w:rsidR="00112F64" w:rsidRPr="00112F64" w14:paraId="2D0E70A9" w14:textId="77777777" w:rsidTr="0047623E">
        <w:tc>
          <w:tcPr>
            <w:tcW w:w="2847" w:type="dxa"/>
          </w:tcPr>
          <w:p w14:paraId="0C839175" w14:textId="77777777" w:rsidR="00112F64" w:rsidRPr="00112F64" w:rsidRDefault="00112F64" w:rsidP="002B358B">
            <w:pPr>
              <w:jc w:val="both"/>
            </w:pPr>
            <w:r w:rsidRPr="00112F64">
              <w:t>Specialist fire Vehicles</w:t>
            </w:r>
          </w:p>
        </w:tc>
        <w:tc>
          <w:tcPr>
            <w:tcW w:w="1397" w:type="dxa"/>
          </w:tcPr>
          <w:p w14:paraId="2E6FEEAD" w14:textId="77777777" w:rsidR="00112F64" w:rsidRPr="00112F64" w:rsidRDefault="00112F64" w:rsidP="002B358B">
            <w:pPr>
              <w:jc w:val="both"/>
            </w:pPr>
            <w:r w:rsidRPr="00112F64">
              <w:t>9</w:t>
            </w:r>
          </w:p>
        </w:tc>
        <w:tc>
          <w:tcPr>
            <w:tcW w:w="2005" w:type="dxa"/>
          </w:tcPr>
          <w:p w14:paraId="17242D08" w14:textId="77777777" w:rsidR="00112F64" w:rsidRPr="00112F64" w:rsidRDefault="00112F64" w:rsidP="002B358B">
            <w:pPr>
              <w:jc w:val="both"/>
            </w:pPr>
            <w:r w:rsidRPr="00112F64">
              <w:t>3</w:t>
            </w:r>
          </w:p>
        </w:tc>
        <w:tc>
          <w:tcPr>
            <w:tcW w:w="1791" w:type="dxa"/>
          </w:tcPr>
          <w:p w14:paraId="61E038A3" w14:textId="77777777" w:rsidR="00112F64" w:rsidRPr="00112F64" w:rsidRDefault="00112F64" w:rsidP="002B358B">
            <w:pPr>
              <w:jc w:val="both"/>
            </w:pPr>
            <w:r w:rsidRPr="00112F64">
              <w:t>6</w:t>
            </w:r>
          </w:p>
        </w:tc>
        <w:tc>
          <w:tcPr>
            <w:tcW w:w="1310" w:type="dxa"/>
          </w:tcPr>
          <w:p w14:paraId="71E9AFE9" w14:textId="77777777" w:rsidR="00112F64" w:rsidRPr="00112F64" w:rsidRDefault="00112F64" w:rsidP="002B358B">
            <w:pPr>
              <w:jc w:val="both"/>
            </w:pPr>
            <w:r w:rsidRPr="00112F64">
              <w:t>12</w:t>
            </w:r>
          </w:p>
        </w:tc>
      </w:tr>
      <w:tr w:rsidR="00112F64" w:rsidRPr="00112F64" w14:paraId="505CCA29" w14:textId="77777777" w:rsidTr="0047623E">
        <w:tc>
          <w:tcPr>
            <w:tcW w:w="2847" w:type="dxa"/>
          </w:tcPr>
          <w:p w14:paraId="1E04D658" w14:textId="77777777" w:rsidR="00112F64" w:rsidRPr="00112F64" w:rsidRDefault="00112F64" w:rsidP="002B358B">
            <w:pPr>
              <w:jc w:val="both"/>
            </w:pPr>
            <w:r w:rsidRPr="00112F64">
              <w:t>Response/Command vehicle</w:t>
            </w:r>
          </w:p>
        </w:tc>
        <w:tc>
          <w:tcPr>
            <w:tcW w:w="1397" w:type="dxa"/>
          </w:tcPr>
          <w:p w14:paraId="3A9FA45E" w14:textId="77777777" w:rsidR="00112F64" w:rsidRPr="00112F64" w:rsidRDefault="00112F64" w:rsidP="002B358B">
            <w:pPr>
              <w:jc w:val="both"/>
            </w:pPr>
            <w:r w:rsidRPr="00112F64">
              <w:t>1</w:t>
            </w:r>
          </w:p>
        </w:tc>
        <w:tc>
          <w:tcPr>
            <w:tcW w:w="2005" w:type="dxa"/>
          </w:tcPr>
          <w:p w14:paraId="19717F0B" w14:textId="77777777" w:rsidR="00112F64" w:rsidRPr="00112F64" w:rsidRDefault="00112F64" w:rsidP="002B358B">
            <w:pPr>
              <w:jc w:val="both"/>
            </w:pPr>
            <w:r w:rsidRPr="00112F64">
              <w:t>0</w:t>
            </w:r>
          </w:p>
        </w:tc>
        <w:tc>
          <w:tcPr>
            <w:tcW w:w="1791" w:type="dxa"/>
          </w:tcPr>
          <w:p w14:paraId="32239B1E" w14:textId="77777777" w:rsidR="00112F64" w:rsidRPr="00112F64" w:rsidRDefault="00112F64" w:rsidP="002B358B">
            <w:pPr>
              <w:jc w:val="both"/>
            </w:pPr>
            <w:r w:rsidRPr="00112F64">
              <w:t>1</w:t>
            </w:r>
          </w:p>
        </w:tc>
        <w:tc>
          <w:tcPr>
            <w:tcW w:w="1310" w:type="dxa"/>
          </w:tcPr>
          <w:p w14:paraId="1B02AABD" w14:textId="77777777" w:rsidR="00112F64" w:rsidRPr="00112F64" w:rsidRDefault="00112F64" w:rsidP="002B358B">
            <w:pPr>
              <w:jc w:val="both"/>
            </w:pPr>
            <w:r w:rsidRPr="00112F64">
              <w:t>6</w:t>
            </w:r>
          </w:p>
        </w:tc>
      </w:tr>
      <w:tr w:rsidR="00112F64" w:rsidRPr="00112F64" w14:paraId="40DE47D6" w14:textId="77777777" w:rsidTr="0047623E">
        <w:tc>
          <w:tcPr>
            <w:tcW w:w="2847" w:type="dxa"/>
          </w:tcPr>
          <w:p w14:paraId="12C454E6" w14:textId="77777777" w:rsidR="00112F64" w:rsidRPr="00112F64" w:rsidRDefault="00112F64" w:rsidP="002B358B">
            <w:pPr>
              <w:jc w:val="both"/>
            </w:pPr>
            <w:r w:rsidRPr="00112F64">
              <w:t>Breathing Apparatus</w:t>
            </w:r>
          </w:p>
        </w:tc>
        <w:tc>
          <w:tcPr>
            <w:tcW w:w="1397" w:type="dxa"/>
          </w:tcPr>
          <w:p w14:paraId="10F9B268" w14:textId="77777777" w:rsidR="00112F64" w:rsidRPr="00112F64" w:rsidRDefault="00112F64" w:rsidP="002B358B">
            <w:pPr>
              <w:jc w:val="both"/>
            </w:pPr>
            <w:r w:rsidRPr="00112F64">
              <w:t>116</w:t>
            </w:r>
          </w:p>
        </w:tc>
        <w:tc>
          <w:tcPr>
            <w:tcW w:w="2005" w:type="dxa"/>
          </w:tcPr>
          <w:p w14:paraId="563DF1C2" w14:textId="77777777" w:rsidR="00112F64" w:rsidRPr="00112F64" w:rsidRDefault="00112F64" w:rsidP="002B358B">
            <w:pPr>
              <w:jc w:val="both"/>
            </w:pPr>
            <w:r w:rsidRPr="00112F64">
              <w:t>80</w:t>
            </w:r>
          </w:p>
        </w:tc>
        <w:tc>
          <w:tcPr>
            <w:tcW w:w="1791" w:type="dxa"/>
          </w:tcPr>
          <w:p w14:paraId="21707F3D" w14:textId="77777777" w:rsidR="00112F64" w:rsidRPr="00112F64" w:rsidRDefault="00112F64" w:rsidP="002B358B">
            <w:pPr>
              <w:jc w:val="both"/>
            </w:pPr>
            <w:r w:rsidRPr="00112F64">
              <w:t>36</w:t>
            </w:r>
          </w:p>
        </w:tc>
        <w:tc>
          <w:tcPr>
            <w:tcW w:w="1310" w:type="dxa"/>
          </w:tcPr>
          <w:p w14:paraId="73CDFFE1" w14:textId="77777777" w:rsidR="00112F64" w:rsidRPr="00112F64" w:rsidRDefault="00112F64" w:rsidP="002B358B">
            <w:pPr>
              <w:jc w:val="both"/>
            </w:pPr>
            <w:r w:rsidRPr="00112F64">
              <w:t>120</w:t>
            </w:r>
          </w:p>
        </w:tc>
      </w:tr>
      <w:tr w:rsidR="00112F64" w:rsidRPr="00112F64" w14:paraId="5CF75265" w14:textId="77777777" w:rsidTr="0047623E">
        <w:tc>
          <w:tcPr>
            <w:tcW w:w="2847" w:type="dxa"/>
          </w:tcPr>
          <w:p w14:paraId="2A76A234" w14:textId="77777777" w:rsidR="00112F64" w:rsidRPr="00112F64" w:rsidRDefault="00112F64" w:rsidP="002B358B">
            <w:pPr>
              <w:jc w:val="both"/>
            </w:pPr>
            <w:r w:rsidRPr="00112F64">
              <w:t>Rescue Sets</w:t>
            </w:r>
          </w:p>
        </w:tc>
        <w:tc>
          <w:tcPr>
            <w:tcW w:w="1397" w:type="dxa"/>
          </w:tcPr>
          <w:p w14:paraId="243966FB" w14:textId="77777777" w:rsidR="00112F64" w:rsidRPr="00112F64" w:rsidRDefault="00112F64" w:rsidP="002B358B">
            <w:pPr>
              <w:jc w:val="both"/>
            </w:pPr>
            <w:r w:rsidRPr="00112F64">
              <w:t>11</w:t>
            </w:r>
          </w:p>
        </w:tc>
        <w:tc>
          <w:tcPr>
            <w:tcW w:w="2005" w:type="dxa"/>
          </w:tcPr>
          <w:p w14:paraId="4930669A" w14:textId="77777777" w:rsidR="00112F64" w:rsidRPr="00112F64" w:rsidRDefault="00112F64" w:rsidP="002B358B">
            <w:pPr>
              <w:jc w:val="both"/>
            </w:pPr>
            <w:r w:rsidRPr="00112F64">
              <w:t>6</w:t>
            </w:r>
          </w:p>
        </w:tc>
        <w:tc>
          <w:tcPr>
            <w:tcW w:w="1791" w:type="dxa"/>
          </w:tcPr>
          <w:p w14:paraId="60DCFD5B" w14:textId="77777777" w:rsidR="00112F64" w:rsidRPr="00112F64" w:rsidRDefault="00112F64" w:rsidP="002B358B">
            <w:pPr>
              <w:jc w:val="both"/>
            </w:pPr>
            <w:r w:rsidRPr="00112F64">
              <w:t>5</w:t>
            </w:r>
          </w:p>
        </w:tc>
        <w:tc>
          <w:tcPr>
            <w:tcW w:w="1310" w:type="dxa"/>
          </w:tcPr>
          <w:p w14:paraId="18F07CFA" w14:textId="77777777" w:rsidR="00112F64" w:rsidRPr="00112F64" w:rsidRDefault="00112F64" w:rsidP="002B358B">
            <w:pPr>
              <w:jc w:val="both"/>
            </w:pPr>
            <w:r w:rsidRPr="00112F64">
              <w:t>15</w:t>
            </w:r>
          </w:p>
        </w:tc>
      </w:tr>
      <w:tr w:rsidR="00112F64" w:rsidRPr="00112F64" w14:paraId="2CFC4F55" w14:textId="77777777" w:rsidTr="0047623E">
        <w:tc>
          <w:tcPr>
            <w:tcW w:w="2847" w:type="dxa"/>
          </w:tcPr>
          <w:p w14:paraId="1720C2C9" w14:textId="77777777" w:rsidR="00112F64" w:rsidRPr="00112F64" w:rsidRDefault="00112F64" w:rsidP="002B358B">
            <w:pPr>
              <w:jc w:val="both"/>
            </w:pPr>
            <w:r w:rsidRPr="00112F64">
              <w:t>Portable Pumps</w:t>
            </w:r>
          </w:p>
        </w:tc>
        <w:tc>
          <w:tcPr>
            <w:tcW w:w="1397" w:type="dxa"/>
          </w:tcPr>
          <w:p w14:paraId="5EDD678B" w14:textId="77777777" w:rsidR="00112F64" w:rsidRPr="00112F64" w:rsidRDefault="00112F64" w:rsidP="002B358B">
            <w:pPr>
              <w:jc w:val="both"/>
            </w:pPr>
            <w:r w:rsidRPr="00112F64">
              <w:t>28</w:t>
            </w:r>
          </w:p>
        </w:tc>
        <w:tc>
          <w:tcPr>
            <w:tcW w:w="2005" w:type="dxa"/>
          </w:tcPr>
          <w:p w14:paraId="6EDA271F" w14:textId="77777777" w:rsidR="00112F64" w:rsidRPr="00112F64" w:rsidRDefault="00112F64" w:rsidP="002B358B">
            <w:pPr>
              <w:jc w:val="both"/>
            </w:pPr>
            <w:r w:rsidRPr="00112F64">
              <w:t>4</w:t>
            </w:r>
          </w:p>
        </w:tc>
        <w:tc>
          <w:tcPr>
            <w:tcW w:w="1791" w:type="dxa"/>
          </w:tcPr>
          <w:p w14:paraId="421BB21E" w14:textId="77777777" w:rsidR="00112F64" w:rsidRPr="00112F64" w:rsidRDefault="00112F64" w:rsidP="002B358B">
            <w:pPr>
              <w:jc w:val="both"/>
            </w:pPr>
            <w:r w:rsidRPr="00112F64">
              <w:t>24</w:t>
            </w:r>
          </w:p>
        </w:tc>
        <w:tc>
          <w:tcPr>
            <w:tcW w:w="1310" w:type="dxa"/>
          </w:tcPr>
          <w:p w14:paraId="3B8D0B6E" w14:textId="77777777" w:rsidR="00112F64" w:rsidRPr="00112F64" w:rsidRDefault="00112F64" w:rsidP="002B358B">
            <w:pPr>
              <w:jc w:val="both"/>
            </w:pPr>
            <w:r w:rsidRPr="00112F64">
              <w:t>32</w:t>
            </w:r>
          </w:p>
        </w:tc>
      </w:tr>
    </w:tbl>
    <w:p w14:paraId="667C3795" w14:textId="77777777" w:rsidR="00112F64" w:rsidRPr="00112F64" w:rsidRDefault="00112F64" w:rsidP="002B358B">
      <w:pPr>
        <w:spacing w:line="360" w:lineRule="auto"/>
        <w:jc w:val="both"/>
        <w:rPr>
          <w:i/>
          <w:iCs/>
          <w:color w:val="EE0000"/>
        </w:rPr>
      </w:pP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color w:val="000000" w:themeColor="text1"/>
        </w:rPr>
        <w:tab/>
      </w:r>
      <w:r w:rsidRPr="00112F64">
        <w:rPr>
          <w:i/>
          <w:iCs/>
          <w:color w:val="000000" w:themeColor="text1"/>
        </w:rPr>
        <w:t>Source: City of Harare</w:t>
      </w:r>
    </w:p>
    <w:p w14:paraId="466D48D0" w14:textId="0ADC699D" w:rsidR="00112F64" w:rsidRPr="00112F64" w:rsidRDefault="00112F64" w:rsidP="002B358B">
      <w:pPr>
        <w:spacing w:line="360" w:lineRule="auto"/>
        <w:jc w:val="both"/>
        <w:rPr>
          <w:color w:val="000000" w:themeColor="text1"/>
        </w:rPr>
      </w:pPr>
      <w:r w:rsidRPr="00112F64">
        <w:rPr>
          <w:color w:val="000000" w:themeColor="text1"/>
        </w:rPr>
        <w:t xml:space="preserve">The resource adequacy indicators show a gap between total assets and functional units across asset types, with target “ideal” numbers representing optimal stock levels that are not being met (e.g., fire trucks: 22 total, 6 functional; aerial ladders: 0/5 functional, target 25 for fire trucks, 6 for ladders). Specific assets are </w:t>
      </w:r>
      <w:r w:rsidR="00ED0CCF" w:rsidRPr="00112F64">
        <w:rPr>
          <w:color w:val="000000" w:themeColor="text1"/>
        </w:rPr>
        <w:t>underperforming</w:t>
      </w:r>
      <w:r w:rsidRPr="00112F64">
        <w:rPr>
          <w:color w:val="000000" w:themeColor="text1"/>
        </w:rPr>
        <w:t xml:space="preserve"> breathing apparatus has 80/116 functional (target 120), portable pumps only 4/28 functional, indicating maintenance backlogs or shortages that could impact response times. Many assets are not fully operational, signaling a need for regular maintenance, replacement or procurement, and improved staffing to maintain readiness and emergency response capacity.</w:t>
      </w:r>
    </w:p>
    <w:p w14:paraId="698F2CCD" w14:textId="77777777" w:rsidR="00112F64" w:rsidRPr="00112F64" w:rsidRDefault="00112F64" w:rsidP="002B358B">
      <w:pPr>
        <w:spacing w:line="360" w:lineRule="auto"/>
        <w:jc w:val="both"/>
        <w:rPr>
          <w:b/>
          <w:bCs/>
          <w:color w:val="EE0000"/>
        </w:rPr>
      </w:pPr>
    </w:p>
    <w:p w14:paraId="34B69B20" w14:textId="031937B5" w:rsidR="00112F64" w:rsidRPr="00112F64" w:rsidRDefault="00112F64" w:rsidP="002B358B">
      <w:pPr>
        <w:pStyle w:val="Heading3"/>
        <w:jc w:val="both"/>
      </w:pPr>
      <w:bookmarkStart w:id="114" w:name="_Toc215652936"/>
      <w:r w:rsidRPr="00112F64">
        <w:t>4.</w:t>
      </w:r>
      <w:r w:rsidR="00B560D5">
        <w:t>5</w:t>
      </w:r>
      <w:r w:rsidRPr="00112F64">
        <w:t>.4 Prevention Activities</w:t>
      </w:r>
      <w:bookmarkEnd w:id="114"/>
    </w:p>
    <w:p w14:paraId="5C69EE9E" w14:textId="77777777" w:rsidR="00112F64" w:rsidRPr="00112F64" w:rsidRDefault="00112F64">
      <w:pPr>
        <w:numPr>
          <w:ilvl w:val="0"/>
          <w:numId w:val="14"/>
        </w:numPr>
        <w:spacing w:line="360" w:lineRule="auto"/>
        <w:contextualSpacing/>
        <w:jc w:val="both"/>
        <w:rPr>
          <w:b/>
          <w:bCs/>
        </w:rPr>
      </w:pPr>
      <w:r w:rsidRPr="00112F64">
        <w:rPr>
          <w:b/>
          <w:bCs/>
        </w:rPr>
        <w:t>Fire risk assessment for the year 2024</w:t>
      </w:r>
    </w:p>
    <w:p w14:paraId="47453841" w14:textId="187FF23A" w:rsidR="00206789" w:rsidRDefault="00206789" w:rsidP="002B358B">
      <w:pPr>
        <w:spacing w:line="360" w:lineRule="auto"/>
        <w:contextualSpacing/>
        <w:jc w:val="both"/>
        <w:rPr>
          <w:b/>
          <w:bCs/>
        </w:rPr>
      </w:pPr>
      <w:bookmarkStart w:id="115" w:name="_Hlk215434645"/>
      <w:r>
        <w:rPr>
          <w:color w:val="000000" w:themeColor="text1"/>
        </w:rPr>
        <w:t xml:space="preserve">Table 4.41 </w:t>
      </w:r>
      <w:r w:rsidRPr="00112F64">
        <w:rPr>
          <w:b/>
          <w:bCs/>
        </w:rPr>
        <w:t>Fire risk assessment for the year 2024</w:t>
      </w:r>
    </w:p>
    <w:p w14:paraId="7F7C5F2D" w14:textId="77777777" w:rsidR="007543E4" w:rsidRPr="00112F64" w:rsidRDefault="007543E4" w:rsidP="002B358B">
      <w:pPr>
        <w:spacing w:line="360" w:lineRule="auto"/>
        <w:contextualSpacing/>
        <w:jc w:val="both"/>
        <w:rPr>
          <w:b/>
          <w:bCs/>
        </w:rPr>
      </w:pPr>
    </w:p>
    <w:p w14:paraId="66F414FD" w14:textId="312DDB5C" w:rsidR="00112F64" w:rsidRPr="00112F64" w:rsidRDefault="00112F64" w:rsidP="002B358B">
      <w:pPr>
        <w:spacing w:line="360" w:lineRule="auto"/>
        <w:jc w:val="both"/>
        <w:rPr>
          <w:color w:val="000000" w:themeColor="text1"/>
        </w:rPr>
      </w:pPr>
    </w:p>
    <w:tbl>
      <w:tblPr>
        <w:tblStyle w:val="TableGrid"/>
        <w:tblW w:w="9493" w:type="dxa"/>
        <w:tblLook w:val="04A0" w:firstRow="1" w:lastRow="0" w:firstColumn="1" w:lastColumn="0" w:noHBand="0" w:noVBand="1"/>
      </w:tblPr>
      <w:tblGrid>
        <w:gridCol w:w="1870"/>
        <w:gridCol w:w="1870"/>
        <w:gridCol w:w="1784"/>
        <w:gridCol w:w="2268"/>
        <w:gridCol w:w="1701"/>
      </w:tblGrid>
      <w:tr w:rsidR="00112F64" w:rsidRPr="00112F64" w14:paraId="7B11AE0E" w14:textId="77777777" w:rsidTr="0047623E">
        <w:tc>
          <w:tcPr>
            <w:tcW w:w="1870" w:type="dxa"/>
          </w:tcPr>
          <w:p w14:paraId="3CD615D6" w14:textId="77777777" w:rsidR="00112F64" w:rsidRPr="00112F64" w:rsidRDefault="00112F64" w:rsidP="002B358B">
            <w:pPr>
              <w:jc w:val="both"/>
            </w:pPr>
            <w:bookmarkStart w:id="116" w:name="_Hlk215280384"/>
            <w:bookmarkEnd w:id="115"/>
            <w:r w:rsidRPr="00112F64">
              <w:t>Location</w:t>
            </w:r>
          </w:p>
        </w:tc>
        <w:tc>
          <w:tcPr>
            <w:tcW w:w="1870" w:type="dxa"/>
          </w:tcPr>
          <w:p w14:paraId="7C108A1B" w14:textId="77777777" w:rsidR="00112F64" w:rsidRPr="00112F64" w:rsidRDefault="00112F64" w:rsidP="002B358B">
            <w:pPr>
              <w:jc w:val="both"/>
            </w:pPr>
            <w:r w:rsidRPr="00112F64">
              <w:t>Compliant</w:t>
            </w:r>
          </w:p>
        </w:tc>
        <w:tc>
          <w:tcPr>
            <w:tcW w:w="1784" w:type="dxa"/>
          </w:tcPr>
          <w:p w14:paraId="218F2612" w14:textId="77777777" w:rsidR="00112F64" w:rsidRPr="00112F64" w:rsidRDefault="00112F64" w:rsidP="002B358B">
            <w:pPr>
              <w:jc w:val="both"/>
            </w:pPr>
            <w:r w:rsidRPr="00112F64">
              <w:t>Total Inspected</w:t>
            </w:r>
          </w:p>
        </w:tc>
        <w:tc>
          <w:tcPr>
            <w:tcW w:w="2268" w:type="dxa"/>
          </w:tcPr>
          <w:p w14:paraId="0BB4488C" w14:textId="77777777" w:rsidR="00112F64" w:rsidRPr="00112F64" w:rsidRDefault="00112F64" w:rsidP="002B358B">
            <w:pPr>
              <w:jc w:val="both"/>
            </w:pPr>
            <w:r w:rsidRPr="00112F64">
              <w:t>Compliance Rate (%)</w:t>
            </w:r>
          </w:p>
        </w:tc>
        <w:tc>
          <w:tcPr>
            <w:tcW w:w="1701" w:type="dxa"/>
          </w:tcPr>
          <w:p w14:paraId="1E4FEBB1" w14:textId="77777777" w:rsidR="00112F64" w:rsidRPr="00112F64" w:rsidRDefault="00112F64" w:rsidP="002B358B">
            <w:pPr>
              <w:jc w:val="both"/>
            </w:pPr>
            <w:r w:rsidRPr="00112F64">
              <w:t>Risk Category</w:t>
            </w:r>
          </w:p>
        </w:tc>
      </w:tr>
      <w:tr w:rsidR="00112F64" w:rsidRPr="00112F64" w14:paraId="0BA2CE7D" w14:textId="77777777" w:rsidTr="0047623E">
        <w:tc>
          <w:tcPr>
            <w:tcW w:w="1870" w:type="dxa"/>
          </w:tcPr>
          <w:p w14:paraId="704F373C" w14:textId="77777777" w:rsidR="00112F64" w:rsidRPr="00112F64" w:rsidRDefault="00112F64" w:rsidP="002B358B">
            <w:pPr>
              <w:jc w:val="both"/>
            </w:pPr>
            <w:bookmarkStart w:id="117" w:name="_Hlk215239331"/>
            <w:r w:rsidRPr="00112F64">
              <w:t>CBD Quadrant 1</w:t>
            </w:r>
          </w:p>
        </w:tc>
        <w:tc>
          <w:tcPr>
            <w:tcW w:w="1870" w:type="dxa"/>
          </w:tcPr>
          <w:p w14:paraId="2A06E538" w14:textId="77777777" w:rsidR="00112F64" w:rsidRPr="00112F64" w:rsidRDefault="00112F64" w:rsidP="002B358B">
            <w:pPr>
              <w:jc w:val="both"/>
            </w:pPr>
            <w:r w:rsidRPr="00112F64">
              <w:t>116</w:t>
            </w:r>
          </w:p>
        </w:tc>
        <w:tc>
          <w:tcPr>
            <w:tcW w:w="1784" w:type="dxa"/>
          </w:tcPr>
          <w:p w14:paraId="659468E3" w14:textId="77777777" w:rsidR="00112F64" w:rsidRPr="00112F64" w:rsidRDefault="00112F64" w:rsidP="002B358B">
            <w:pPr>
              <w:jc w:val="both"/>
            </w:pPr>
            <w:r w:rsidRPr="00112F64">
              <w:t>624</w:t>
            </w:r>
          </w:p>
        </w:tc>
        <w:tc>
          <w:tcPr>
            <w:tcW w:w="2268" w:type="dxa"/>
          </w:tcPr>
          <w:p w14:paraId="0988BA9D" w14:textId="77777777" w:rsidR="00112F64" w:rsidRPr="00112F64" w:rsidRDefault="00112F64" w:rsidP="002B358B">
            <w:pPr>
              <w:jc w:val="both"/>
            </w:pPr>
            <w:r w:rsidRPr="00112F64">
              <w:t>18.6</w:t>
            </w:r>
          </w:p>
        </w:tc>
        <w:tc>
          <w:tcPr>
            <w:tcW w:w="1701" w:type="dxa"/>
          </w:tcPr>
          <w:p w14:paraId="5D6BCCF6" w14:textId="77777777" w:rsidR="00112F64" w:rsidRPr="00112F64" w:rsidRDefault="00112F64" w:rsidP="002B358B">
            <w:pPr>
              <w:jc w:val="both"/>
            </w:pPr>
            <w:r w:rsidRPr="00112F64">
              <w:t>High</w:t>
            </w:r>
          </w:p>
        </w:tc>
      </w:tr>
      <w:tr w:rsidR="00112F64" w:rsidRPr="00112F64" w14:paraId="4D5B0F2C" w14:textId="77777777" w:rsidTr="0047623E">
        <w:tc>
          <w:tcPr>
            <w:tcW w:w="1870" w:type="dxa"/>
          </w:tcPr>
          <w:p w14:paraId="7FD85212" w14:textId="77777777" w:rsidR="00112F64" w:rsidRPr="00112F64" w:rsidRDefault="00112F64" w:rsidP="002B358B">
            <w:pPr>
              <w:jc w:val="both"/>
            </w:pPr>
            <w:r w:rsidRPr="00112F64">
              <w:t>CBD Quadrant 2</w:t>
            </w:r>
          </w:p>
        </w:tc>
        <w:tc>
          <w:tcPr>
            <w:tcW w:w="1870" w:type="dxa"/>
          </w:tcPr>
          <w:p w14:paraId="28D17361" w14:textId="77777777" w:rsidR="00112F64" w:rsidRPr="00112F64" w:rsidRDefault="00112F64" w:rsidP="002B358B">
            <w:pPr>
              <w:jc w:val="both"/>
            </w:pPr>
            <w:r w:rsidRPr="00112F64">
              <w:t>76</w:t>
            </w:r>
          </w:p>
        </w:tc>
        <w:tc>
          <w:tcPr>
            <w:tcW w:w="1784" w:type="dxa"/>
          </w:tcPr>
          <w:p w14:paraId="06440704" w14:textId="77777777" w:rsidR="00112F64" w:rsidRPr="00112F64" w:rsidRDefault="00112F64" w:rsidP="002B358B">
            <w:pPr>
              <w:jc w:val="both"/>
            </w:pPr>
            <w:r w:rsidRPr="00112F64">
              <w:t>400</w:t>
            </w:r>
          </w:p>
        </w:tc>
        <w:tc>
          <w:tcPr>
            <w:tcW w:w="2268" w:type="dxa"/>
          </w:tcPr>
          <w:p w14:paraId="7ACDCF75" w14:textId="77777777" w:rsidR="00112F64" w:rsidRPr="00112F64" w:rsidRDefault="00112F64" w:rsidP="002B358B">
            <w:pPr>
              <w:jc w:val="both"/>
            </w:pPr>
            <w:r w:rsidRPr="00112F64">
              <w:t>19.0</w:t>
            </w:r>
          </w:p>
        </w:tc>
        <w:tc>
          <w:tcPr>
            <w:tcW w:w="1701" w:type="dxa"/>
          </w:tcPr>
          <w:p w14:paraId="449CC5BF" w14:textId="77777777" w:rsidR="00112F64" w:rsidRPr="00112F64" w:rsidRDefault="00112F64" w:rsidP="002B358B">
            <w:pPr>
              <w:jc w:val="both"/>
            </w:pPr>
            <w:r w:rsidRPr="00112F64">
              <w:t>High</w:t>
            </w:r>
          </w:p>
        </w:tc>
      </w:tr>
      <w:tr w:rsidR="00112F64" w:rsidRPr="00112F64" w14:paraId="521165D4" w14:textId="77777777" w:rsidTr="0047623E">
        <w:tc>
          <w:tcPr>
            <w:tcW w:w="1870" w:type="dxa"/>
          </w:tcPr>
          <w:p w14:paraId="3961DC35" w14:textId="77777777" w:rsidR="00112F64" w:rsidRPr="00112F64" w:rsidRDefault="00112F64" w:rsidP="002B358B">
            <w:pPr>
              <w:jc w:val="both"/>
            </w:pPr>
            <w:r w:rsidRPr="00112F64">
              <w:t>CBD Quadrant 3</w:t>
            </w:r>
          </w:p>
        </w:tc>
        <w:tc>
          <w:tcPr>
            <w:tcW w:w="1870" w:type="dxa"/>
          </w:tcPr>
          <w:p w14:paraId="7A49B332" w14:textId="77777777" w:rsidR="00112F64" w:rsidRPr="00112F64" w:rsidRDefault="00112F64" w:rsidP="002B358B">
            <w:pPr>
              <w:jc w:val="both"/>
            </w:pPr>
            <w:r w:rsidRPr="00112F64">
              <w:t>67</w:t>
            </w:r>
          </w:p>
        </w:tc>
        <w:tc>
          <w:tcPr>
            <w:tcW w:w="1784" w:type="dxa"/>
          </w:tcPr>
          <w:p w14:paraId="786C6C1D" w14:textId="77777777" w:rsidR="00112F64" w:rsidRPr="00112F64" w:rsidRDefault="00112F64" w:rsidP="002B358B">
            <w:pPr>
              <w:jc w:val="both"/>
            </w:pPr>
            <w:r w:rsidRPr="00112F64">
              <w:t>146</w:t>
            </w:r>
          </w:p>
        </w:tc>
        <w:tc>
          <w:tcPr>
            <w:tcW w:w="2268" w:type="dxa"/>
          </w:tcPr>
          <w:p w14:paraId="727C848D" w14:textId="77777777" w:rsidR="00112F64" w:rsidRPr="00112F64" w:rsidRDefault="00112F64" w:rsidP="002B358B">
            <w:pPr>
              <w:jc w:val="both"/>
            </w:pPr>
            <w:r w:rsidRPr="00112F64">
              <w:t>45.9</w:t>
            </w:r>
          </w:p>
        </w:tc>
        <w:tc>
          <w:tcPr>
            <w:tcW w:w="1701" w:type="dxa"/>
          </w:tcPr>
          <w:p w14:paraId="2DF60458" w14:textId="77777777" w:rsidR="00112F64" w:rsidRPr="00112F64" w:rsidRDefault="00112F64" w:rsidP="002B358B">
            <w:pPr>
              <w:jc w:val="both"/>
            </w:pPr>
            <w:r w:rsidRPr="00112F64">
              <w:t>Medium</w:t>
            </w:r>
          </w:p>
        </w:tc>
      </w:tr>
      <w:tr w:rsidR="00112F64" w:rsidRPr="00112F64" w14:paraId="4470994E" w14:textId="77777777" w:rsidTr="0047623E">
        <w:tc>
          <w:tcPr>
            <w:tcW w:w="1870" w:type="dxa"/>
          </w:tcPr>
          <w:p w14:paraId="007C6942" w14:textId="77777777" w:rsidR="00112F64" w:rsidRPr="00112F64" w:rsidRDefault="00112F64" w:rsidP="002B358B">
            <w:pPr>
              <w:jc w:val="both"/>
            </w:pPr>
            <w:r w:rsidRPr="00112F64">
              <w:t>CBD Quadrant 4</w:t>
            </w:r>
          </w:p>
        </w:tc>
        <w:tc>
          <w:tcPr>
            <w:tcW w:w="1870" w:type="dxa"/>
          </w:tcPr>
          <w:p w14:paraId="3FDECA64" w14:textId="77777777" w:rsidR="00112F64" w:rsidRPr="00112F64" w:rsidRDefault="00112F64" w:rsidP="002B358B">
            <w:pPr>
              <w:jc w:val="both"/>
            </w:pPr>
            <w:r w:rsidRPr="00112F64">
              <w:t>81</w:t>
            </w:r>
          </w:p>
        </w:tc>
        <w:tc>
          <w:tcPr>
            <w:tcW w:w="1784" w:type="dxa"/>
          </w:tcPr>
          <w:p w14:paraId="610727C2" w14:textId="77777777" w:rsidR="00112F64" w:rsidRPr="00112F64" w:rsidRDefault="00112F64" w:rsidP="002B358B">
            <w:pPr>
              <w:jc w:val="both"/>
            </w:pPr>
            <w:r w:rsidRPr="00112F64">
              <w:t>224</w:t>
            </w:r>
          </w:p>
        </w:tc>
        <w:tc>
          <w:tcPr>
            <w:tcW w:w="2268" w:type="dxa"/>
          </w:tcPr>
          <w:p w14:paraId="6A8D2314" w14:textId="77777777" w:rsidR="00112F64" w:rsidRPr="00112F64" w:rsidRDefault="00112F64" w:rsidP="002B358B">
            <w:pPr>
              <w:jc w:val="both"/>
            </w:pPr>
            <w:r w:rsidRPr="00112F64">
              <w:t>36.2</w:t>
            </w:r>
          </w:p>
        </w:tc>
        <w:tc>
          <w:tcPr>
            <w:tcW w:w="1701" w:type="dxa"/>
          </w:tcPr>
          <w:p w14:paraId="43879BCB" w14:textId="77777777" w:rsidR="00112F64" w:rsidRPr="00112F64" w:rsidRDefault="00112F64" w:rsidP="002B358B">
            <w:pPr>
              <w:jc w:val="both"/>
            </w:pPr>
            <w:r w:rsidRPr="00112F64">
              <w:t>Medium</w:t>
            </w:r>
          </w:p>
        </w:tc>
      </w:tr>
      <w:bookmarkEnd w:id="117"/>
      <w:tr w:rsidR="00112F64" w:rsidRPr="00112F64" w14:paraId="579A745D" w14:textId="77777777" w:rsidTr="0047623E">
        <w:tc>
          <w:tcPr>
            <w:tcW w:w="1870" w:type="dxa"/>
          </w:tcPr>
          <w:p w14:paraId="2EB62805" w14:textId="77777777" w:rsidR="00112F64" w:rsidRPr="00112F64" w:rsidRDefault="00112F64" w:rsidP="002B358B">
            <w:pPr>
              <w:jc w:val="both"/>
            </w:pPr>
            <w:r w:rsidRPr="00112F64">
              <w:t>Willowvale Industrial</w:t>
            </w:r>
          </w:p>
        </w:tc>
        <w:tc>
          <w:tcPr>
            <w:tcW w:w="1870" w:type="dxa"/>
          </w:tcPr>
          <w:p w14:paraId="1D2A03C3" w14:textId="77777777" w:rsidR="00112F64" w:rsidRPr="00112F64" w:rsidRDefault="00112F64" w:rsidP="002B358B">
            <w:pPr>
              <w:jc w:val="both"/>
            </w:pPr>
            <w:r w:rsidRPr="00112F64">
              <w:t>79</w:t>
            </w:r>
          </w:p>
        </w:tc>
        <w:tc>
          <w:tcPr>
            <w:tcW w:w="1784" w:type="dxa"/>
          </w:tcPr>
          <w:p w14:paraId="6FDF0F4D" w14:textId="77777777" w:rsidR="00112F64" w:rsidRPr="00112F64" w:rsidRDefault="00112F64" w:rsidP="002B358B">
            <w:pPr>
              <w:jc w:val="both"/>
            </w:pPr>
            <w:r w:rsidRPr="00112F64">
              <w:t>526</w:t>
            </w:r>
          </w:p>
        </w:tc>
        <w:tc>
          <w:tcPr>
            <w:tcW w:w="2268" w:type="dxa"/>
          </w:tcPr>
          <w:p w14:paraId="5B5AF767" w14:textId="77777777" w:rsidR="00112F64" w:rsidRPr="00112F64" w:rsidRDefault="00112F64" w:rsidP="002B358B">
            <w:pPr>
              <w:jc w:val="both"/>
            </w:pPr>
            <w:r w:rsidRPr="00112F64">
              <w:t>15.0</w:t>
            </w:r>
          </w:p>
        </w:tc>
        <w:tc>
          <w:tcPr>
            <w:tcW w:w="1701" w:type="dxa"/>
          </w:tcPr>
          <w:p w14:paraId="4BD22321" w14:textId="77777777" w:rsidR="00112F64" w:rsidRPr="00112F64" w:rsidRDefault="00112F64" w:rsidP="002B358B">
            <w:pPr>
              <w:jc w:val="both"/>
            </w:pPr>
            <w:r w:rsidRPr="00112F64">
              <w:t>High</w:t>
            </w:r>
          </w:p>
        </w:tc>
      </w:tr>
      <w:tr w:rsidR="00112F64" w:rsidRPr="00112F64" w14:paraId="61B53136" w14:textId="77777777" w:rsidTr="0047623E">
        <w:tc>
          <w:tcPr>
            <w:tcW w:w="1870" w:type="dxa"/>
          </w:tcPr>
          <w:p w14:paraId="5B6F09A5" w14:textId="77777777" w:rsidR="00112F64" w:rsidRPr="00112F64" w:rsidRDefault="00112F64" w:rsidP="002B358B">
            <w:pPr>
              <w:jc w:val="both"/>
            </w:pPr>
            <w:r w:rsidRPr="00112F64">
              <w:t>Glen Eagles Industrial</w:t>
            </w:r>
          </w:p>
        </w:tc>
        <w:tc>
          <w:tcPr>
            <w:tcW w:w="1870" w:type="dxa"/>
          </w:tcPr>
          <w:p w14:paraId="4DD1F46E" w14:textId="77777777" w:rsidR="00112F64" w:rsidRPr="00112F64" w:rsidRDefault="00112F64" w:rsidP="002B358B">
            <w:pPr>
              <w:jc w:val="both"/>
            </w:pPr>
            <w:r w:rsidRPr="00112F64">
              <w:t>22</w:t>
            </w:r>
          </w:p>
        </w:tc>
        <w:tc>
          <w:tcPr>
            <w:tcW w:w="1784" w:type="dxa"/>
          </w:tcPr>
          <w:p w14:paraId="0A9AF29C" w14:textId="77777777" w:rsidR="00112F64" w:rsidRPr="00112F64" w:rsidRDefault="00112F64" w:rsidP="002B358B">
            <w:pPr>
              <w:jc w:val="both"/>
            </w:pPr>
            <w:r w:rsidRPr="00112F64">
              <w:t>222</w:t>
            </w:r>
          </w:p>
        </w:tc>
        <w:tc>
          <w:tcPr>
            <w:tcW w:w="2268" w:type="dxa"/>
          </w:tcPr>
          <w:p w14:paraId="755A0B8F" w14:textId="77777777" w:rsidR="00112F64" w:rsidRPr="00112F64" w:rsidRDefault="00112F64" w:rsidP="002B358B">
            <w:pPr>
              <w:jc w:val="both"/>
            </w:pPr>
            <w:r w:rsidRPr="00112F64">
              <w:t>9.9</w:t>
            </w:r>
          </w:p>
        </w:tc>
        <w:tc>
          <w:tcPr>
            <w:tcW w:w="1701" w:type="dxa"/>
          </w:tcPr>
          <w:p w14:paraId="1A7A5254" w14:textId="77777777" w:rsidR="00112F64" w:rsidRPr="00112F64" w:rsidRDefault="00112F64" w:rsidP="002B358B">
            <w:pPr>
              <w:jc w:val="both"/>
            </w:pPr>
            <w:r w:rsidRPr="00112F64">
              <w:t>High</w:t>
            </w:r>
          </w:p>
        </w:tc>
      </w:tr>
      <w:tr w:rsidR="00112F64" w:rsidRPr="00112F64" w14:paraId="269F687E" w14:textId="77777777" w:rsidTr="0047623E">
        <w:tc>
          <w:tcPr>
            <w:tcW w:w="1870" w:type="dxa"/>
          </w:tcPr>
          <w:p w14:paraId="7F2DD681" w14:textId="77777777" w:rsidR="00112F64" w:rsidRPr="00112F64" w:rsidRDefault="00112F64" w:rsidP="002B358B">
            <w:pPr>
              <w:jc w:val="both"/>
            </w:pPr>
            <w:r w:rsidRPr="00112F64">
              <w:t>Southerton Industrial</w:t>
            </w:r>
          </w:p>
        </w:tc>
        <w:tc>
          <w:tcPr>
            <w:tcW w:w="1870" w:type="dxa"/>
          </w:tcPr>
          <w:p w14:paraId="1C8B16AA" w14:textId="77777777" w:rsidR="00112F64" w:rsidRPr="00112F64" w:rsidRDefault="00112F64" w:rsidP="002B358B">
            <w:pPr>
              <w:jc w:val="both"/>
            </w:pPr>
            <w:r w:rsidRPr="00112F64">
              <w:t>35</w:t>
            </w:r>
          </w:p>
        </w:tc>
        <w:tc>
          <w:tcPr>
            <w:tcW w:w="1784" w:type="dxa"/>
          </w:tcPr>
          <w:p w14:paraId="1EF13EB8" w14:textId="77777777" w:rsidR="00112F64" w:rsidRPr="00112F64" w:rsidRDefault="00112F64" w:rsidP="002B358B">
            <w:pPr>
              <w:jc w:val="both"/>
            </w:pPr>
            <w:r w:rsidRPr="00112F64">
              <w:t>112</w:t>
            </w:r>
          </w:p>
        </w:tc>
        <w:tc>
          <w:tcPr>
            <w:tcW w:w="2268" w:type="dxa"/>
          </w:tcPr>
          <w:p w14:paraId="27FFCCD9" w14:textId="77777777" w:rsidR="00112F64" w:rsidRPr="00112F64" w:rsidRDefault="00112F64" w:rsidP="002B358B">
            <w:pPr>
              <w:jc w:val="both"/>
            </w:pPr>
            <w:r w:rsidRPr="00112F64">
              <w:t>31.3</w:t>
            </w:r>
          </w:p>
        </w:tc>
        <w:tc>
          <w:tcPr>
            <w:tcW w:w="1701" w:type="dxa"/>
          </w:tcPr>
          <w:p w14:paraId="1B62568F" w14:textId="77777777" w:rsidR="00112F64" w:rsidRPr="00112F64" w:rsidRDefault="00112F64" w:rsidP="002B358B">
            <w:pPr>
              <w:jc w:val="both"/>
            </w:pPr>
            <w:r w:rsidRPr="00112F64">
              <w:t>Medium</w:t>
            </w:r>
          </w:p>
        </w:tc>
      </w:tr>
      <w:tr w:rsidR="00112F64" w:rsidRPr="00112F64" w14:paraId="0B5BBC95" w14:textId="77777777" w:rsidTr="0047623E">
        <w:tc>
          <w:tcPr>
            <w:tcW w:w="1870" w:type="dxa"/>
          </w:tcPr>
          <w:p w14:paraId="4C787A9F" w14:textId="77777777" w:rsidR="00112F64" w:rsidRPr="00112F64" w:rsidRDefault="00112F64" w:rsidP="002B358B">
            <w:pPr>
              <w:jc w:val="both"/>
            </w:pPr>
            <w:r w:rsidRPr="00112F64">
              <w:t>Tynwald Industrial</w:t>
            </w:r>
          </w:p>
        </w:tc>
        <w:tc>
          <w:tcPr>
            <w:tcW w:w="1870" w:type="dxa"/>
          </w:tcPr>
          <w:p w14:paraId="4504FF3A" w14:textId="77777777" w:rsidR="00112F64" w:rsidRPr="00112F64" w:rsidRDefault="00112F64" w:rsidP="002B358B">
            <w:pPr>
              <w:jc w:val="both"/>
            </w:pPr>
            <w:r w:rsidRPr="00112F64">
              <w:t>42</w:t>
            </w:r>
          </w:p>
        </w:tc>
        <w:tc>
          <w:tcPr>
            <w:tcW w:w="1784" w:type="dxa"/>
          </w:tcPr>
          <w:p w14:paraId="6BC02943" w14:textId="77777777" w:rsidR="00112F64" w:rsidRPr="00112F64" w:rsidRDefault="00112F64" w:rsidP="002B358B">
            <w:pPr>
              <w:jc w:val="both"/>
            </w:pPr>
            <w:r w:rsidRPr="00112F64">
              <w:t>294</w:t>
            </w:r>
          </w:p>
        </w:tc>
        <w:tc>
          <w:tcPr>
            <w:tcW w:w="2268" w:type="dxa"/>
          </w:tcPr>
          <w:p w14:paraId="45FBDD56" w14:textId="77777777" w:rsidR="00112F64" w:rsidRPr="00112F64" w:rsidRDefault="00112F64" w:rsidP="002B358B">
            <w:pPr>
              <w:jc w:val="both"/>
            </w:pPr>
            <w:r w:rsidRPr="00112F64">
              <w:t>14.3</w:t>
            </w:r>
          </w:p>
        </w:tc>
        <w:tc>
          <w:tcPr>
            <w:tcW w:w="1701" w:type="dxa"/>
          </w:tcPr>
          <w:p w14:paraId="6A66F898" w14:textId="77777777" w:rsidR="00112F64" w:rsidRPr="00112F64" w:rsidRDefault="00112F64" w:rsidP="002B358B">
            <w:pPr>
              <w:jc w:val="both"/>
            </w:pPr>
            <w:r w:rsidRPr="00112F64">
              <w:t>High</w:t>
            </w:r>
          </w:p>
        </w:tc>
      </w:tr>
      <w:tr w:rsidR="00112F64" w:rsidRPr="00112F64" w14:paraId="7FBE91F7" w14:textId="77777777" w:rsidTr="0047623E">
        <w:tc>
          <w:tcPr>
            <w:tcW w:w="1870" w:type="dxa"/>
          </w:tcPr>
          <w:p w14:paraId="595E600B" w14:textId="77777777" w:rsidR="00112F64" w:rsidRPr="00112F64" w:rsidRDefault="00112F64" w:rsidP="002B358B">
            <w:pPr>
              <w:jc w:val="both"/>
            </w:pPr>
            <w:r w:rsidRPr="00112F64">
              <w:t>Markets</w:t>
            </w:r>
          </w:p>
        </w:tc>
        <w:tc>
          <w:tcPr>
            <w:tcW w:w="1870" w:type="dxa"/>
          </w:tcPr>
          <w:p w14:paraId="14975D84" w14:textId="77777777" w:rsidR="00112F64" w:rsidRPr="00112F64" w:rsidRDefault="00112F64" w:rsidP="002B358B">
            <w:pPr>
              <w:jc w:val="both"/>
            </w:pPr>
            <w:r w:rsidRPr="00112F64">
              <w:t>0</w:t>
            </w:r>
          </w:p>
        </w:tc>
        <w:tc>
          <w:tcPr>
            <w:tcW w:w="1784" w:type="dxa"/>
          </w:tcPr>
          <w:p w14:paraId="0DEB4A6D" w14:textId="77777777" w:rsidR="00112F64" w:rsidRPr="00112F64" w:rsidRDefault="00112F64" w:rsidP="002B358B">
            <w:pPr>
              <w:jc w:val="both"/>
            </w:pPr>
            <w:r w:rsidRPr="00112F64">
              <w:t>3</w:t>
            </w:r>
          </w:p>
        </w:tc>
        <w:tc>
          <w:tcPr>
            <w:tcW w:w="2268" w:type="dxa"/>
          </w:tcPr>
          <w:p w14:paraId="1692F74A" w14:textId="77777777" w:rsidR="00112F64" w:rsidRPr="00112F64" w:rsidRDefault="00112F64" w:rsidP="002B358B">
            <w:pPr>
              <w:jc w:val="both"/>
            </w:pPr>
            <w:r w:rsidRPr="00112F64">
              <w:t>0%</w:t>
            </w:r>
          </w:p>
        </w:tc>
        <w:tc>
          <w:tcPr>
            <w:tcW w:w="1701" w:type="dxa"/>
          </w:tcPr>
          <w:p w14:paraId="1F25947F" w14:textId="77777777" w:rsidR="00112F64" w:rsidRPr="00112F64" w:rsidRDefault="00112F64" w:rsidP="002B358B">
            <w:pPr>
              <w:jc w:val="both"/>
            </w:pPr>
            <w:r w:rsidRPr="00112F64">
              <w:t>High</w:t>
            </w:r>
          </w:p>
        </w:tc>
      </w:tr>
      <w:tr w:rsidR="00112F64" w:rsidRPr="00112F64" w14:paraId="272ACBCA" w14:textId="77777777" w:rsidTr="0047623E">
        <w:tc>
          <w:tcPr>
            <w:tcW w:w="1870" w:type="dxa"/>
          </w:tcPr>
          <w:p w14:paraId="4CF2BC06" w14:textId="77777777" w:rsidR="00112F64" w:rsidRPr="00112F64" w:rsidRDefault="00112F64" w:rsidP="002B358B">
            <w:pPr>
              <w:jc w:val="both"/>
            </w:pPr>
            <w:r w:rsidRPr="00112F64">
              <w:t>Home industries</w:t>
            </w:r>
          </w:p>
        </w:tc>
        <w:tc>
          <w:tcPr>
            <w:tcW w:w="1870" w:type="dxa"/>
          </w:tcPr>
          <w:p w14:paraId="1723FF6F" w14:textId="77777777" w:rsidR="00112F64" w:rsidRPr="00112F64" w:rsidRDefault="00112F64" w:rsidP="002B358B">
            <w:pPr>
              <w:jc w:val="both"/>
            </w:pPr>
            <w:r w:rsidRPr="00112F64">
              <w:t>0</w:t>
            </w:r>
          </w:p>
        </w:tc>
        <w:tc>
          <w:tcPr>
            <w:tcW w:w="1784" w:type="dxa"/>
          </w:tcPr>
          <w:p w14:paraId="5B0B0337" w14:textId="77777777" w:rsidR="00112F64" w:rsidRPr="00112F64" w:rsidRDefault="00112F64" w:rsidP="002B358B">
            <w:pPr>
              <w:jc w:val="both"/>
            </w:pPr>
            <w:r w:rsidRPr="00112F64">
              <w:t>2</w:t>
            </w:r>
          </w:p>
        </w:tc>
        <w:tc>
          <w:tcPr>
            <w:tcW w:w="2268" w:type="dxa"/>
          </w:tcPr>
          <w:p w14:paraId="5087302B" w14:textId="77777777" w:rsidR="00112F64" w:rsidRPr="00112F64" w:rsidRDefault="00112F64" w:rsidP="002B358B">
            <w:pPr>
              <w:jc w:val="both"/>
            </w:pPr>
            <w:r w:rsidRPr="00112F64">
              <w:t>0%</w:t>
            </w:r>
          </w:p>
        </w:tc>
        <w:tc>
          <w:tcPr>
            <w:tcW w:w="1701" w:type="dxa"/>
          </w:tcPr>
          <w:p w14:paraId="6D4FBDA1" w14:textId="77777777" w:rsidR="00112F64" w:rsidRPr="00112F64" w:rsidRDefault="00112F64" w:rsidP="002B358B">
            <w:pPr>
              <w:jc w:val="both"/>
            </w:pPr>
            <w:r w:rsidRPr="00112F64">
              <w:t>High</w:t>
            </w:r>
          </w:p>
        </w:tc>
      </w:tr>
    </w:tbl>
    <w:bookmarkEnd w:id="116"/>
    <w:p w14:paraId="2FD8D96E" w14:textId="77777777" w:rsidR="00112F64" w:rsidRPr="00112F64" w:rsidRDefault="00112F64" w:rsidP="002B358B">
      <w:pPr>
        <w:spacing w:line="360" w:lineRule="auto"/>
        <w:jc w:val="both"/>
        <w:rPr>
          <w:i/>
          <w:iCs/>
          <w:color w:val="EE0000"/>
        </w:rPr>
      </w:pPr>
      <w:r w:rsidRPr="00112F64">
        <w:tab/>
      </w:r>
      <w:r w:rsidRPr="00112F64">
        <w:tab/>
      </w:r>
      <w:r w:rsidRPr="00112F64">
        <w:tab/>
      </w:r>
      <w:r w:rsidRPr="00112F64">
        <w:tab/>
      </w:r>
      <w:r w:rsidRPr="00112F64">
        <w:tab/>
      </w:r>
      <w:r w:rsidRPr="00112F64">
        <w:tab/>
      </w:r>
      <w:r w:rsidRPr="00112F64">
        <w:tab/>
      </w:r>
      <w:r w:rsidRPr="00112F64">
        <w:tab/>
      </w:r>
      <w:r w:rsidRPr="00112F64">
        <w:tab/>
      </w:r>
      <w:r w:rsidRPr="00112F64">
        <w:rPr>
          <w:i/>
          <w:iCs/>
          <w:color w:val="000000" w:themeColor="text1"/>
        </w:rPr>
        <w:t>Source: City of Harare</w:t>
      </w:r>
    </w:p>
    <w:p w14:paraId="5B17A3A0" w14:textId="77777777" w:rsidR="00112F64" w:rsidRPr="00112F64" w:rsidRDefault="00112F64" w:rsidP="002B358B">
      <w:pPr>
        <w:spacing w:line="360" w:lineRule="auto"/>
        <w:jc w:val="both"/>
      </w:pPr>
      <w:r w:rsidRPr="00112F64">
        <w:rPr>
          <w:noProof/>
        </w:rPr>
        <w:lastRenderedPageBreak/>
        <w:drawing>
          <wp:inline distT="0" distB="0" distL="0" distR="0" wp14:anchorId="53EC4FA1" wp14:editId="6875E962">
            <wp:extent cx="4572000" cy="2743200"/>
            <wp:effectExtent l="0" t="0" r="0" b="0"/>
            <wp:docPr id="1380078470" name="Chart 1">
              <a:extLst xmlns:a="http://schemas.openxmlformats.org/drawingml/2006/main">
                <a:ext uri="{FF2B5EF4-FFF2-40B4-BE49-F238E27FC236}">
                  <a16:creationId xmlns:a16="http://schemas.microsoft.com/office/drawing/2014/main" id="{9A0340CB-FE13-ABAF-FB03-3B791A2652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CC20EC3" w14:textId="17F44FEF" w:rsidR="00206789" w:rsidRPr="00ED0CCF" w:rsidRDefault="00206789" w:rsidP="002B358B">
      <w:pPr>
        <w:spacing w:line="360" w:lineRule="auto"/>
        <w:contextualSpacing/>
        <w:jc w:val="both"/>
        <w:rPr>
          <w:b/>
          <w:bCs/>
        </w:rPr>
      </w:pPr>
      <w:r w:rsidRPr="00ED0CCF">
        <w:rPr>
          <w:b/>
          <w:bCs/>
        </w:rPr>
        <w:t>Figure 4.11 Fire risk assessment for the year 2024</w:t>
      </w:r>
      <w:r w:rsidR="007543E4" w:rsidRPr="00ED0CCF">
        <w:rPr>
          <w:b/>
          <w:bCs/>
          <w:color w:val="000000" w:themeColor="text1"/>
        </w:rPr>
        <w:t xml:space="preserve"> </w:t>
      </w:r>
    </w:p>
    <w:p w14:paraId="34ED0DBD" w14:textId="77777777" w:rsidR="00112F64" w:rsidRPr="00112F64" w:rsidRDefault="00112F64" w:rsidP="002B358B">
      <w:pPr>
        <w:spacing w:line="360" w:lineRule="auto"/>
        <w:jc w:val="both"/>
      </w:pPr>
    </w:p>
    <w:p w14:paraId="0534D29F" w14:textId="77777777" w:rsidR="00112F64" w:rsidRPr="00112F64" w:rsidRDefault="00112F64">
      <w:pPr>
        <w:numPr>
          <w:ilvl w:val="0"/>
          <w:numId w:val="23"/>
        </w:numPr>
        <w:spacing w:line="360" w:lineRule="auto"/>
        <w:contextualSpacing/>
        <w:jc w:val="both"/>
        <w:rPr>
          <w:b/>
          <w:bCs/>
        </w:rPr>
      </w:pPr>
      <w:r w:rsidRPr="00112F64">
        <w:rPr>
          <w:b/>
          <w:bCs/>
        </w:rPr>
        <w:t>Analysis of Fire Risk Assessment Data</w:t>
      </w:r>
    </w:p>
    <w:p w14:paraId="5680D1C3" w14:textId="79D39372" w:rsidR="00112F64" w:rsidRPr="00112F64" w:rsidRDefault="00112F64" w:rsidP="002B358B">
      <w:pPr>
        <w:spacing w:line="360" w:lineRule="auto"/>
        <w:jc w:val="both"/>
      </w:pPr>
      <w:r w:rsidRPr="00112F64">
        <w:t xml:space="preserve">A structured analysis of the fire risk assessment data collected during the year 2024 across multiple locations, emphasizing patterns in compliance, risk categorization, and the implications for fire safety management is presented here. The discussion integrates descriptive statistics, identifies notable trends, and articulates the practical consequences for policy, enforcement, and future research. Through this analysis, the researcher aimed to illuminate where fire safety practices are lagging, which locations pose the greatest risk, and how interventions might be prioritized to reduce overall fire </w:t>
      </w:r>
      <w:r w:rsidR="00ED0CCF" w:rsidRPr="00112F64">
        <w:t>hazards</w:t>
      </w:r>
      <w:r w:rsidRPr="00112F64">
        <w:t>.</w:t>
      </w:r>
    </w:p>
    <w:p w14:paraId="26FC01EE" w14:textId="77777777" w:rsidR="00112F64" w:rsidRPr="00112F64" w:rsidRDefault="00112F64" w:rsidP="002B358B">
      <w:pPr>
        <w:spacing w:line="360" w:lineRule="auto"/>
        <w:jc w:val="both"/>
      </w:pPr>
      <w:r w:rsidRPr="00112F64">
        <w:t xml:space="preserve">The dataset comprises a series of sites categorized by location, with four key variables for each site: Compliant (the number of compliant facilities), Total Inspected (the total number of facilities inspected), Compliance Rate (the percentage of compliant units relative to total inspected), and Risk Category (High or Medium). The locations span both Central Business District (CBD) quadrants and industrial zones, with two very small sample categories Markets and Home industries that report minimal inspection counts. </w:t>
      </w:r>
    </w:p>
    <w:p w14:paraId="2CE2C401" w14:textId="77777777" w:rsidR="00112F64" w:rsidRPr="00112F64" w:rsidRDefault="00112F64" w:rsidP="002B358B">
      <w:pPr>
        <w:spacing w:line="360" w:lineRule="auto"/>
        <w:jc w:val="both"/>
      </w:pPr>
      <w:r w:rsidRPr="00112F64">
        <w:t xml:space="preserve">A central observation emerging from the data concerns the comparation of risk category against compliance performance. Several locations labeled as High-risk exhibit strikingly low compliance rates. For instance, CBD Quadrants 1 and 2 show High risk with compliance rates of approximately 18.6% and 19.0%, respectively. Willowvale Industrial and Glen Eagles Industrial, also categorized </w:t>
      </w:r>
      <w:r w:rsidRPr="00112F64">
        <w:lastRenderedPageBreak/>
        <w:t>as High risk, report compliance rates near 15.0% and 9.9%. Tynwald Industrial mirrors this trend with a compliance rate around 14.3%. This convergence of high risk and low compliance signals a pronounced vulnerability within these sites: a substantial portion of inspected facilities fail to meet established fire safety standards, heightening the probability of fire incidents and potentially exacerbating consequences through delayed detection, inadequate suppression capacity, and insufficient evacuation readiness.</w:t>
      </w:r>
    </w:p>
    <w:p w14:paraId="12862B37" w14:textId="77777777" w:rsidR="00112F64" w:rsidRPr="00112F64" w:rsidRDefault="00112F64" w:rsidP="002B358B">
      <w:pPr>
        <w:spacing w:line="360" w:lineRule="auto"/>
        <w:jc w:val="both"/>
      </w:pPr>
    </w:p>
    <w:p w14:paraId="40349015" w14:textId="77777777" w:rsidR="00112F64" w:rsidRPr="00112F64" w:rsidRDefault="00112F64" w:rsidP="002B358B">
      <w:pPr>
        <w:spacing w:line="360" w:lineRule="auto"/>
        <w:jc w:val="both"/>
      </w:pPr>
      <w:r w:rsidRPr="00112F64">
        <w:t>In contrast, CBD Quadrants 3 and 4, both designated as medium risk, present moderate-to-lower compliance rates compared with noncompliance in the high-risk zones, with approximately 45.9% and 36.2% compliance respectively. Southerton Industrial, also categorized as medium risk, has a compliance rate of about 31.3%. Although these figures are higher than those observed in the high-risk locations, they still reveal meaningful gaps in compliance that warrant attention. The medium-risk designation paired with comparatively higher compliance may suggest that while current measures are less stringent than those required for high-risk sites, ongoing improvements could nonetheless shift these locations into a lower risk category if sustained.</w:t>
      </w:r>
    </w:p>
    <w:p w14:paraId="3B884AD3" w14:textId="77777777" w:rsidR="00112F64" w:rsidRPr="00112F64" w:rsidRDefault="00112F64" w:rsidP="002B358B">
      <w:pPr>
        <w:spacing w:line="360" w:lineRule="auto"/>
        <w:jc w:val="both"/>
      </w:pPr>
    </w:p>
    <w:p w14:paraId="76AB4848" w14:textId="77777777" w:rsidR="00112F64" w:rsidRPr="00112F64" w:rsidRDefault="00112F64" w:rsidP="002B358B">
      <w:pPr>
        <w:spacing w:line="360" w:lineRule="auto"/>
        <w:jc w:val="both"/>
      </w:pPr>
      <w:r w:rsidRPr="00112F64">
        <w:t>The implications of these findings for practice are multifaceted. There is a clear priority for remediation efforts in high-risk locations with low compliance. The Fire brigade should consider allocating resources toward accelerated remediation plans, targeted training, and more frequent follow-up inspections in CBD Quadrants 1 and 2, Willowvale Industrial, Glen Eagles Industrial, and Tynwald Industrial. While medium-risk sites display relatively better compliance than high-risk ones, the observed gaps especially in CBD Quadrants 3 and 4 and Southerton Industrial still pose substantial risk that could escalate if left unaddressed. Proactive measures, including standardized corrective action plans and milestone-driven remediation timelines, are warranted to prevent deterioration of safety conditions.</w:t>
      </w:r>
    </w:p>
    <w:p w14:paraId="2400E4E0" w14:textId="77777777" w:rsidR="00112F64" w:rsidRPr="00112F64" w:rsidRDefault="00112F64" w:rsidP="002B358B">
      <w:pPr>
        <w:spacing w:line="360" w:lineRule="auto"/>
        <w:jc w:val="both"/>
      </w:pPr>
      <w:r w:rsidRPr="00112F64">
        <w:t>The analysis underscores the value of integrating trend data into the assessment framework. Continuous monitoring, with periodic re-assessment, would illuminate whether compliance is improving, stagnating, or declining, enabling dynamic risk management and timely adjustments to intervention strategies.</w:t>
      </w:r>
    </w:p>
    <w:p w14:paraId="51591C72" w14:textId="77777777" w:rsidR="00112F64" w:rsidRPr="00112F64" w:rsidRDefault="00112F64" w:rsidP="002B358B">
      <w:pPr>
        <w:spacing w:line="360" w:lineRule="auto"/>
        <w:jc w:val="both"/>
      </w:pPr>
    </w:p>
    <w:p w14:paraId="62A52EA8" w14:textId="77777777" w:rsidR="00112F64" w:rsidRPr="00112F64" w:rsidRDefault="00112F64" w:rsidP="002B358B">
      <w:pPr>
        <w:spacing w:line="360" w:lineRule="auto"/>
        <w:jc w:val="both"/>
      </w:pPr>
      <w:r w:rsidRPr="00112F64">
        <w:lastRenderedPageBreak/>
        <w:t>In terms of theoretical implications, the observed patterns reinforce the conceptual linkage between compliance behavior and risk categorization in fire safety management. High-risk designations are reinforced by demonstrably low compliance, suggesting either systemic barriers to compliance (such as resource limitations, maintenance backlogs, or gaps in training) or insufficient enforcement mechanisms. Conversely, the medium-risk locations with modest compliance imply a transitional state in which ongoing improvements could yield a shift to lower risk. This interpretation aligns with risk management theories that emphasize the interaction between hazard severity, exposure, and control effectiveness as determinants of overall risk.</w:t>
      </w:r>
    </w:p>
    <w:p w14:paraId="75FBDCC9" w14:textId="77777777" w:rsidR="00112F64" w:rsidRPr="00112F64" w:rsidRDefault="00112F64" w:rsidP="002B358B">
      <w:pPr>
        <w:spacing w:line="360" w:lineRule="auto"/>
        <w:jc w:val="both"/>
      </w:pPr>
    </w:p>
    <w:p w14:paraId="5A521197" w14:textId="77777777" w:rsidR="00112F64" w:rsidRPr="00112F64" w:rsidRDefault="00112F64" w:rsidP="002B358B">
      <w:pPr>
        <w:spacing w:line="360" w:lineRule="auto"/>
        <w:jc w:val="both"/>
      </w:pPr>
      <w:r w:rsidRPr="00112F64">
        <w:t>Limitations of this analysis must be acknowledged. The cross-sectional design captures a single temporal snapshot, limiting inferences about causality or the direction of change. Additionally, the dataset does not provide granular details on the nature of compliance (e.g., specific fire safety components assessed, such as fire detection systems, extinguishers, exit routes, or staff training) or contextual factors (building type, occupancy, or maintenance history) that could illuminate the drivers of noncompliance.</w:t>
      </w:r>
    </w:p>
    <w:p w14:paraId="1979B064" w14:textId="77777777" w:rsidR="00112F64" w:rsidRPr="00112F64" w:rsidRDefault="00112F64" w:rsidP="002B358B">
      <w:pPr>
        <w:spacing w:line="360" w:lineRule="auto"/>
        <w:jc w:val="both"/>
      </w:pPr>
    </w:p>
    <w:p w14:paraId="6C709A55" w14:textId="529455DC" w:rsidR="00112F64" w:rsidRPr="00112F64" w:rsidRDefault="00112F64" w:rsidP="002B358B">
      <w:pPr>
        <w:spacing w:line="360" w:lineRule="auto"/>
        <w:jc w:val="both"/>
      </w:pPr>
      <w:r w:rsidRPr="00112F64">
        <w:t xml:space="preserve">The data </w:t>
      </w:r>
      <w:r w:rsidR="00ED0CCF" w:rsidRPr="00112F64">
        <w:t>reveals</w:t>
      </w:r>
      <w:r w:rsidRPr="00112F64">
        <w:t xml:space="preserve"> a stark contrast between risk categorization and compliance performance, with high-risk locations showing notably low compliance. This combination signals a pressing need for targeted enforcement, remediation, and continuous monitoring. Simultaneously, medium-risk sites present opportunities to consolidate gains and prevent escalation. By strengthening sampling strategies, implementing standardized remediation frameworks, and instituting ongoing trend analyses, stakeholders can more effectively reduce fire risk across all locations and move toward safer, more compliant environments. The following are the descriptive statistics of the fire risk assessment data.</w:t>
      </w:r>
    </w:p>
    <w:p w14:paraId="45D115AE" w14:textId="1F5FC378" w:rsidR="00112F64" w:rsidRPr="00ED0CCF" w:rsidRDefault="00112F64" w:rsidP="002B358B">
      <w:pPr>
        <w:autoSpaceDE w:val="0"/>
        <w:autoSpaceDN w:val="0"/>
        <w:adjustRightInd w:val="0"/>
        <w:spacing w:line="400" w:lineRule="atLeast"/>
        <w:jc w:val="both"/>
        <w:rPr>
          <w:b/>
          <w:bCs/>
        </w:rPr>
      </w:pPr>
    </w:p>
    <w:p w14:paraId="50E7CEF1" w14:textId="0479DC65" w:rsidR="007543E4" w:rsidRPr="00ED0CCF" w:rsidRDefault="00722620" w:rsidP="002B358B">
      <w:pPr>
        <w:spacing w:line="360" w:lineRule="auto"/>
        <w:jc w:val="both"/>
        <w:rPr>
          <w:rFonts w:ascii="Arial" w:hAnsi="Arial" w:cs="Arial"/>
          <w:b/>
          <w:bCs/>
          <w:color w:val="010205"/>
          <w:sz w:val="22"/>
          <w:szCs w:val="22"/>
        </w:rPr>
      </w:pPr>
      <w:r w:rsidRPr="00ED0CCF">
        <w:rPr>
          <w:b/>
          <w:bCs/>
          <w:color w:val="000000" w:themeColor="text1"/>
        </w:rPr>
        <w:t>Table 4.42</w:t>
      </w:r>
      <w:r w:rsidRPr="00ED0CCF">
        <w:rPr>
          <w:rFonts w:ascii="Arial" w:hAnsi="Arial" w:cs="Arial"/>
          <w:b/>
          <w:bCs/>
          <w:color w:val="010205"/>
          <w:sz w:val="22"/>
          <w:szCs w:val="22"/>
        </w:rPr>
        <w:t xml:space="preserve"> Total Inspected</w:t>
      </w:r>
    </w:p>
    <w:tbl>
      <w:tblPr>
        <w:tblStyle w:val="TableGrid"/>
        <w:tblW w:w="8005" w:type="dxa"/>
        <w:tblLayout w:type="fixed"/>
        <w:tblLook w:val="0000" w:firstRow="0" w:lastRow="0" w:firstColumn="0" w:lastColumn="0" w:noHBand="0" w:noVBand="0"/>
      </w:tblPr>
      <w:tblGrid>
        <w:gridCol w:w="805"/>
        <w:gridCol w:w="990"/>
        <w:gridCol w:w="1260"/>
        <w:gridCol w:w="1170"/>
        <w:gridCol w:w="1440"/>
        <w:gridCol w:w="2340"/>
      </w:tblGrid>
      <w:tr w:rsidR="00ED0CCF" w:rsidRPr="00ED0CCF" w14:paraId="0C4C5A47" w14:textId="77777777" w:rsidTr="00ED0CCF">
        <w:trPr>
          <w:trHeight w:val="288"/>
        </w:trPr>
        <w:tc>
          <w:tcPr>
            <w:tcW w:w="8005" w:type="dxa"/>
            <w:gridSpan w:val="6"/>
          </w:tcPr>
          <w:p w14:paraId="1941CC6E" w14:textId="3D95709D" w:rsidR="00112F64" w:rsidRPr="00ED0CCF" w:rsidRDefault="00112F64" w:rsidP="002B358B">
            <w:pPr>
              <w:autoSpaceDE w:val="0"/>
              <w:autoSpaceDN w:val="0"/>
              <w:adjustRightInd w:val="0"/>
              <w:spacing w:line="320" w:lineRule="atLeast"/>
              <w:ind w:right="60"/>
              <w:jc w:val="both"/>
              <w:rPr>
                <w:rFonts w:ascii="Arial" w:hAnsi="Arial" w:cs="Arial"/>
                <w:sz w:val="22"/>
                <w:szCs w:val="22"/>
              </w:rPr>
            </w:pPr>
          </w:p>
        </w:tc>
      </w:tr>
      <w:tr w:rsidR="00ED0CCF" w:rsidRPr="00ED0CCF" w14:paraId="2AC54B02" w14:textId="77777777" w:rsidTr="00ED0CCF">
        <w:trPr>
          <w:trHeight w:val="577"/>
        </w:trPr>
        <w:tc>
          <w:tcPr>
            <w:tcW w:w="1795" w:type="dxa"/>
            <w:gridSpan w:val="2"/>
          </w:tcPr>
          <w:p w14:paraId="68300B41" w14:textId="77777777" w:rsidR="00112F64" w:rsidRPr="00ED0CCF" w:rsidRDefault="00112F64" w:rsidP="002B358B">
            <w:pPr>
              <w:autoSpaceDE w:val="0"/>
              <w:autoSpaceDN w:val="0"/>
              <w:adjustRightInd w:val="0"/>
              <w:jc w:val="both"/>
            </w:pPr>
          </w:p>
        </w:tc>
        <w:tc>
          <w:tcPr>
            <w:tcW w:w="1260" w:type="dxa"/>
          </w:tcPr>
          <w:p w14:paraId="162C9A5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Frequency</w:t>
            </w:r>
          </w:p>
        </w:tc>
        <w:tc>
          <w:tcPr>
            <w:tcW w:w="1170" w:type="dxa"/>
          </w:tcPr>
          <w:p w14:paraId="4828BB31"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Percent</w:t>
            </w:r>
          </w:p>
        </w:tc>
        <w:tc>
          <w:tcPr>
            <w:tcW w:w="1440" w:type="dxa"/>
          </w:tcPr>
          <w:p w14:paraId="5DA20F41"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Valid Percent</w:t>
            </w:r>
          </w:p>
        </w:tc>
        <w:tc>
          <w:tcPr>
            <w:tcW w:w="2340" w:type="dxa"/>
          </w:tcPr>
          <w:p w14:paraId="2D302341"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Cumulative Percent</w:t>
            </w:r>
          </w:p>
        </w:tc>
      </w:tr>
      <w:tr w:rsidR="00ED0CCF" w:rsidRPr="00ED0CCF" w14:paraId="17252DD5" w14:textId="77777777" w:rsidTr="00ED0CCF">
        <w:trPr>
          <w:trHeight w:val="288"/>
        </w:trPr>
        <w:tc>
          <w:tcPr>
            <w:tcW w:w="805" w:type="dxa"/>
          </w:tcPr>
          <w:p w14:paraId="6DDB4FC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Valid</w:t>
            </w:r>
          </w:p>
        </w:tc>
        <w:tc>
          <w:tcPr>
            <w:tcW w:w="990" w:type="dxa"/>
          </w:tcPr>
          <w:p w14:paraId="118FC2FC"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2</w:t>
            </w:r>
          </w:p>
        </w:tc>
        <w:tc>
          <w:tcPr>
            <w:tcW w:w="1260" w:type="dxa"/>
          </w:tcPr>
          <w:p w14:paraId="5337FA9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2596344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0E612A9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40ABBAAC"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r>
      <w:tr w:rsidR="00ED0CCF" w:rsidRPr="00ED0CCF" w14:paraId="059ECDDF" w14:textId="77777777" w:rsidTr="00ED0CCF">
        <w:trPr>
          <w:trHeight w:val="129"/>
        </w:trPr>
        <w:tc>
          <w:tcPr>
            <w:tcW w:w="805" w:type="dxa"/>
          </w:tcPr>
          <w:p w14:paraId="085BF396"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4A9C859A"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3</w:t>
            </w:r>
          </w:p>
        </w:tc>
        <w:tc>
          <w:tcPr>
            <w:tcW w:w="1260" w:type="dxa"/>
          </w:tcPr>
          <w:p w14:paraId="71BE430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2B1F4F5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6B32D18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179D38F5"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20.0</w:t>
            </w:r>
          </w:p>
        </w:tc>
      </w:tr>
      <w:tr w:rsidR="00ED0CCF" w:rsidRPr="00ED0CCF" w14:paraId="3E0F2CB3" w14:textId="77777777" w:rsidTr="00ED0CCF">
        <w:trPr>
          <w:trHeight w:val="129"/>
        </w:trPr>
        <w:tc>
          <w:tcPr>
            <w:tcW w:w="805" w:type="dxa"/>
          </w:tcPr>
          <w:p w14:paraId="384CA6B3"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6FA3EDD4"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112</w:t>
            </w:r>
          </w:p>
        </w:tc>
        <w:tc>
          <w:tcPr>
            <w:tcW w:w="1260" w:type="dxa"/>
          </w:tcPr>
          <w:p w14:paraId="7EE7BED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1B907235"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0F7A0EBC"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5893ED9B"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30.0</w:t>
            </w:r>
          </w:p>
        </w:tc>
      </w:tr>
      <w:tr w:rsidR="00ED0CCF" w:rsidRPr="00ED0CCF" w14:paraId="06BF8DFD" w14:textId="77777777" w:rsidTr="00ED0CCF">
        <w:trPr>
          <w:trHeight w:val="129"/>
        </w:trPr>
        <w:tc>
          <w:tcPr>
            <w:tcW w:w="805" w:type="dxa"/>
          </w:tcPr>
          <w:p w14:paraId="67329D40"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1BC7925E"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146</w:t>
            </w:r>
          </w:p>
        </w:tc>
        <w:tc>
          <w:tcPr>
            <w:tcW w:w="1260" w:type="dxa"/>
          </w:tcPr>
          <w:p w14:paraId="5246EC2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05DD6883"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19FF17C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6A3ED007"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40.0</w:t>
            </w:r>
          </w:p>
        </w:tc>
      </w:tr>
      <w:tr w:rsidR="00ED0CCF" w:rsidRPr="00ED0CCF" w14:paraId="3C76F3B9" w14:textId="77777777" w:rsidTr="00ED0CCF">
        <w:trPr>
          <w:trHeight w:val="129"/>
        </w:trPr>
        <w:tc>
          <w:tcPr>
            <w:tcW w:w="805" w:type="dxa"/>
          </w:tcPr>
          <w:p w14:paraId="7DB6D688"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6A51256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222</w:t>
            </w:r>
          </w:p>
        </w:tc>
        <w:tc>
          <w:tcPr>
            <w:tcW w:w="1260" w:type="dxa"/>
          </w:tcPr>
          <w:p w14:paraId="4613CB63"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006E63F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25FCD943"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7027A87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50.0</w:t>
            </w:r>
          </w:p>
        </w:tc>
      </w:tr>
      <w:tr w:rsidR="00ED0CCF" w:rsidRPr="00ED0CCF" w14:paraId="2FDC2D84" w14:textId="77777777" w:rsidTr="00ED0CCF">
        <w:trPr>
          <w:trHeight w:val="129"/>
        </w:trPr>
        <w:tc>
          <w:tcPr>
            <w:tcW w:w="805" w:type="dxa"/>
          </w:tcPr>
          <w:p w14:paraId="3A70E6A2"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184CBA4F"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224</w:t>
            </w:r>
          </w:p>
        </w:tc>
        <w:tc>
          <w:tcPr>
            <w:tcW w:w="1260" w:type="dxa"/>
          </w:tcPr>
          <w:p w14:paraId="529419E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16B37FE7"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7F3E7C7C"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1B3A8A66"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60.0</w:t>
            </w:r>
          </w:p>
        </w:tc>
      </w:tr>
      <w:tr w:rsidR="00ED0CCF" w:rsidRPr="00ED0CCF" w14:paraId="231ABB9E" w14:textId="77777777" w:rsidTr="00ED0CCF">
        <w:trPr>
          <w:trHeight w:val="129"/>
        </w:trPr>
        <w:tc>
          <w:tcPr>
            <w:tcW w:w="805" w:type="dxa"/>
          </w:tcPr>
          <w:p w14:paraId="2CCAFF37"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02ADA7CB"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294</w:t>
            </w:r>
          </w:p>
        </w:tc>
        <w:tc>
          <w:tcPr>
            <w:tcW w:w="1260" w:type="dxa"/>
          </w:tcPr>
          <w:p w14:paraId="5B0ABCCF"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45FA358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2AE47534"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19711AB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70.0</w:t>
            </w:r>
          </w:p>
        </w:tc>
      </w:tr>
      <w:tr w:rsidR="00ED0CCF" w:rsidRPr="00ED0CCF" w14:paraId="2BB452C0" w14:textId="77777777" w:rsidTr="00ED0CCF">
        <w:trPr>
          <w:trHeight w:val="129"/>
        </w:trPr>
        <w:tc>
          <w:tcPr>
            <w:tcW w:w="805" w:type="dxa"/>
          </w:tcPr>
          <w:p w14:paraId="539C6DC5"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332C027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400</w:t>
            </w:r>
          </w:p>
        </w:tc>
        <w:tc>
          <w:tcPr>
            <w:tcW w:w="1260" w:type="dxa"/>
          </w:tcPr>
          <w:p w14:paraId="3A66AE2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1032CBE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07C450CE"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115CAF0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80.0</w:t>
            </w:r>
          </w:p>
        </w:tc>
      </w:tr>
      <w:tr w:rsidR="00ED0CCF" w:rsidRPr="00ED0CCF" w14:paraId="4DC0F284" w14:textId="77777777" w:rsidTr="00ED0CCF">
        <w:trPr>
          <w:trHeight w:val="129"/>
        </w:trPr>
        <w:tc>
          <w:tcPr>
            <w:tcW w:w="805" w:type="dxa"/>
          </w:tcPr>
          <w:p w14:paraId="3FD75F19"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446829A2"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526</w:t>
            </w:r>
          </w:p>
        </w:tc>
        <w:tc>
          <w:tcPr>
            <w:tcW w:w="1260" w:type="dxa"/>
          </w:tcPr>
          <w:p w14:paraId="6B1206BD"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2D99672A"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71177C50"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2D0902E6"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90.0</w:t>
            </w:r>
          </w:p>
        </w:tc>
      </w:tr>
      <w:tr w:rsidR="00ED0CCF" w:rsidRPr="00ED0CCF" w14:paraId="5B16DC97" w14:textId="77777777" w:rsidTr="00ED0CCF">
        <w:trPr>
          <w:trHeight w:val="129"/>
        </w:trPr>
        <w:tc>
          <w:tcPr>
            <w:tcW w:w="805" w:type="dxa"/>
          </w:tcPr>
          <w:p w14:paraId="7E249E4C"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5DD9BC79"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624</w:t>
            </w:r>
          </w:p>
        </w:tc>
        <w:tc>
          <w:tcPr>
            <w:tcW w:w="1260" w:type="dxa"/>
          </w:tcPr>
          <w:p w14:paraId="05205955"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w:t>
            </w:r>
          </w:p>
        </w:tc>
        <w:tc>
          <w:tcPr>
            <w:tcW w:w="1170" w:type="dxa"/>
          </w:tcPr>
          <w:p w14:paraId="450FD085"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1440" w:type="dxa"/>
          </w:tcPr>
          <w:p w14:paraId="0ABF5277"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w:t>
            </w:r>
          </w:p>
        </w:tc>
        <w:tc>
          <w:tcPr>
            <w:tcW w:w="2340" w:type="dxa"/>
          </w:tcPr>
          <w:p w14:paraId="68CB5208"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100.0</w:t>
            </w:r>
          </w:p>
        </w:tc>
      </w:tr>
      <w:tr w:rsidR="00ED0CCF" w:rsidRPr="00ED0CCF" w14:paraId="345B6C27" w14:textId="77777777" w:rsidTr="00ED0CCF">
        <w:trPr>
          <w:trHeight w:val="129"/>
        </w:trPr>
        <w:tc>
          <w:tcPr>
            <w:tcW w:w="805" w:type="dxa"/>
          </w:tcPr>
          <w:p w14:paraId="171964F9" w14:textId="77777777" w:rsidR="00112F64" w:rsidRPr="00ED0CCF" w:rsidRDefault="00112F64" w:rsidP="002B358B">
            <w:pPr>
              <w:autoSpaceDE w:val="0"/>
              <w:autoSpaceDN w:val="0"/>
              <w:adjustRightInd w:val="0"/>
              <w:jc w:val="both"/>
              <w:rPr>
                <w:rFonts w:ascii="Arial" w:hAnsi="Arial" w:cs="Arial"/>
                <w:sz w:val="18"/>
                <w:szCs w:val="18"/>
              </w:rPr>
            </w:pPr>
          </w:p>
        </w:tc>
        <w:tc>
          <w:tcPr>
            <w:tcW w:w="990" w:type="dxa"/>
          </w:tcPr>
          <w:p w14:paraId="44436F4F"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Total</w:t>
            </w:r>
          </w:p>
        </w:tc>
        <w:tc>
          <w:tcPr>
            <w:tcW w:w="1260" w:type="dxa"/>
          </w:tcPr>
          <w:p w14:paraId="6A121525"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w:t>
            </w:r>
          </w:p>
        </w:tc>
        <w:tc>
          <w:tcPr>
            <w:tcW w:w="1170" w:type="dxa"/>
          </w:tcPr>
          <w:p w14:paraId="52C2186A"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100.0</w:t>
            </w:r>
          </w:p>
        </w:tc>
        <w:tc>
          <w:tcPr>
            <w:tcW w:w="1440" w:type="dxa"/>
          </w:tcPr>
          <w:p w14:paraId="7B2F6A87" w14:textId="77777777" w:rsidR="00112F64" w:rsidRPr="00ED0CCF" w:rsidRDefault="00112F64" w:rsidP="002B358B">
            <w:pPr>
              <w:autoSpaceDE w:val="0"/>
              <w:autoSpaceDN w:val="0"/>
              <w:adjustRightInd w:val="0"/>
              <w:spacing w:line="320" w:lineRule="atLeast"/>
              <w:ind w:left="60" w:right="60"/>
              <w:jc w:val="both"/>
              <w:rPr>
                <w:rFonts w:ascii="Arial" w:hAnsi="Arial" w:cs="Arial"/>
                <w:sz w:val="18"/>
                <w:szCs w:val="18"/>
              </w:rPr>
            </w:pPr>
            <w:r w:rsidRPr="00ED0CCF">
              <w:rPr>
                <w:rFonts w:ascii="Arial" w:hAnsi="Arial" w:cs="Arial"/>
                <w:sz w:val="18"/>
                <w:szCs w:val="18"/>
              </w:rPr>
              <w:t>100.0</w:t>
            </w:r>
          </w:p>
        </w:tc>
        <w:tc>
          <w:tcPr>
            <w:tcW w:w="2340" w:type="dxa"/>
          </w:tcPr>
          <w:p w14:paraId="6516BCF2" w14:textId="77777777" w:rsidR="00112F64" w:rsidRPr="00ED0CCF" w:rsidRDefault="00112F64" w:rsidP="002B358B">
            <w:pPr>
              <w:autoSpaceDE w:val="0"/>
              <w:autoSpaceDN w:val="0"/>
              <w:adjustRightInd w:val="0"/>
              <w:jc w:val="both"/>
            </w:pPr>
          </w:p>
        </w:tc>
      </w:tr>
    </w:tbl>
    <w:p w14:paraId="7D93F1DB" w14:textId="77777777" w:rsidR="00112F64" w:rsidRPr="00112F64" w:rsidRDefault="00112F64" w:rsidP="002B358B">
      <w:pPr>
        <w:autoSpaceDE w:val="0"/>
        <w:autoSpaceDN w:val="0"/>
        <w:adjustRightInd w:val="0"/>
        <w:jc w:val="both"/>
      </w:pPr>
    </w:p>
    <w:p w14:paraId="2FB25A1E" w14:textId="77777777" w:rsidR="00112F64" w:rsidRPr="00112F64" w:rsidRDefault="00112F64" w:rsidP="002B358B">
      <w:pPr>
        <w:autoSpaceDE w:val="0"/>
        <w:autoSpaceDN w:val="0"/>
        <w:adjustRightInd w:val="0"/>
        <w:jc w:val="both"/>
      </w:pPr>
    </w:p>
    <w:p w14:paraId="6837F89A" w14:textId="793A0ACC" w:rsidR="00112F64" w:rsidRPr="00ED0CCF" w:rsidRDefault="00722620" w:rsidP="002B358B">
      <w:pPr>
        <w:spacing w:line="360" w:lineRule="auto"/>
        <w:jc w:val="both"/>
        <w:rPr>
          <w:b/>
          <w:bCs/>
          <w:color w:val="000000" w:themeColor="text1"/>
        </w:rPr>
      </w:pPr>
      <w:r w:rsidRPr="00ED0CCF">
        <w:rPr>
          <w:b/>
          <w:bCs/>
          <w:color w:val="000000" w:themeColor="text1"/>
        </w:rPr>
        <w:t>Table 4.43</w:t>
      </w:r>
      <w:r w:rsidR="007543E4" w:rsidRPr="00ED0CCF">
        <w:rPr>
          <w:rFonts w:ascii="Arial" w:hAnsi="Arial" w:cs="Arial"/>
          <w:b/>
          <w:bCs/>
          <w:color w:val="010205"/>
          <w:sz w:val="22"/>
          <w:szCs w:val="22"/>
        </w:rPr>
        <w:t xml:space="preserve"> Risk Category</w:t>
      </w:r>
    </w:p>
    <w:tbl>
      <w:tblPr>
        <w:tblStyle w:val="TableGrid"/>
        <w:tblW w:w="8421" w:type="dxa"/>
        <w:tblLayout w:type="fixed"/>
        <w:tblLook w:val="0000" w:firstRow="0" w:lastRow="0" w:firstColumn="0" w:lastColumn="0" w:noHBand="0" w:noVBand="0"/>
      </w:tblPr>
      <w:tblGrid>
        <w:gridCol w:w="1075"/>
        <w:gridCol w:w="1170"/>
        <w:gridCol w:w="1620"/>
        <w:gridCol w:w="1350"/>
        <w:gridCol w:w="1170"/>
        <w:gridCol w:w="1890"/>
        <w:gridCol w:w="146"/>
      </w:tblGrid>
      <w:tr w:rsidR="00ED0CCF" w:rsidRPr="00ED0CCF" w14:paraId="7F356AB9" w14:textId="77777777" w:rsidTr="00ED0CCF">
        <w:trPr>
          <w:gridAfter w:val="1"/>
          <w:wAfter w:w="146" w:type="dxa"/>
          <w:trHeight w:val="370"/>
        </w:trPr>
        <w:tc>
          <w:tcPr>
            <w:tcW w:w="8275" w:type="dxa"/>
            <w:gridSpan w:val="6"/>
          </w:tcPr>
          <w:p w14:paraId="464925A1" w14:textId="5BBDAA4D" w:rsidR="00112F64" w:rsidRPr="00ED0CCF" w:rsidRDefault="00112F64" w:rsidP="002B358B">
            <w:pPr>
              <w:autoSpaceDE w:val="0"/>
              <w:autoSpaceDN w:val="0"/>
              <w:adjustRightInd w:val="0"/>
              <w:spacing w:line="320" w:lineRule="atLeast"/>
              <w:ind w:left="60" w:right="60"/>
              <w:jc w:val="both"/>
              <w:rPr>
                <w:rFonts w:ascii="Arial" w:hAnsi="Arial" w:cs="Arial"/>
              </w:rPr>
            </w:pPr>
          </w:p>
        </w:tc>
      </w:tr>
      <w:tr w:rsidR="00ED0CCF" w:rsidRPr="00ED0CCF" w14:paraId="430B44BC" w14:textId="77777777" w:rsidTr="00ED0CCF">
        <w:trPr>
          <w:trHeight w:val="740"/>
        </w:trPr>
        <w:tc>
          <w:tcPr>
            <w:tcW w:w="2245" w:type="dxa"/>
            <w:gridSpan w:val="2"/>
          </w:tcPr>
          <w:p w14:paraId="3F4C4839" w14:textId="77777777" w:rsidR="00112F64" w:rsidRPr="00ED0CCF" w:rsidRDefault="00112F64" w:rsidP="002B358B">
            <w:pPr>
              <w:autoSpaceDE w:val="0"/>
              <w:autoSpaceDN w:val="0"/>
              <w:adjustRightInd w:val="0"/>
              <w:jc w:val="both"/>
            </w:pPr>
          </w:p>
        </w:tc>
        <w:tc>
          <w:tcPr>
            <w:tcW w:w="1620" w:type="dxa"/>
          </w:tcPr>
          <w:p w14:paraId="6C7B86D9"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Frequency</w:t>
            </w:r>
          </w:p>
        </w:tc>
        <w:tc>
          <w:tcPr>
            <w:tcW w:w="1350" w:type="dxa"/>
          </w:tcPr>
          <w:p w14:paraId="59F1325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Percent</w:t>
            </w:r>
          </w:p>
        </w:tc>
        <w:tc>
          <w:tcPr>
            <w:tcW w:w="1170" w:type="dxa"/>
          </w:tcPr>
          <w:p w14:paraId="1525D342"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Valid Percent</w:t>
            </w:r>
          </w:p>
        </w:tc>
        <w:tc>
          <w:tcPr>
            <w:tcW w:w="2036" w:type="dxa"/>
            <w:gridSpan w:val="2"/>
          </w:tcPr>
          <w:p w14:paraId="67264AA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Cumulative Percent</w:t>
            </w:r>
          </w:p>
        </w:tc>
      </w:tr>
      <w:tr w:rsidR="00ED0CCF" w:rsidRPr="00ED0CCF" w14:paraId="57443C6C" w14:textId="77777777" w:rsidTr="00ED0CCF">
        <w:trPr>
          <w:trHeight w:val="370"/>
        </w:trPr>
        <w:tc>
          <w:tcPr>
            <w:tcW w:w="1075" w:type="dxa"/>
            <w:vMerge w:val="restart"/>
          </w:tcPr>
          <w:p w14:paraId="2258A622"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Valid</w:t>
            </w:r>
          </w:p>
        </w:tc>
        <w:tc>
          <w:tcPr>
            <w:tcW w:w="1170" w:type="dxa"/>
          </w:tcPr>
          <w:p w14:paraId="3DEA24EB"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High</w:t>
            </w:r>
          </w:p>
        </w:tc>
        <w:tc>
          <w:tcPr>
            <w:tcW w:w="1620" w:type="dxa"/>
          </w:tcPr>
          <w:p w14:paraId="5A97188C"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7</w:t>
            </w:r>
          </w:p>
        </w:tc>
        <w:tc>
          <w:tcPr>
            <w:tcW w:w="1350" w:type="dxa"/>
          </w:tcPr>
          <w:p w14:paraId="71959024"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70.0</w:t>
            </w:r>
          </w:p>
        </w:tc>
        <w:tc>
          <w:tcPr>
            <w:tcW w:w="1170" w:type="dxa"/>
          </w:tcPr>
          <w:p w14:paraId="11C7BAC1"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70.0</w:t>
            </w:r>
          </w:p>
        </w:tc>
        <w:tc>
          <w:tcPr>
            <w:tcW w:w="2036" w:type="dxa"/>
            <w:gridSpan w:val="2"/>
          </w:tcPr>
          <w:p w14:paraId="36543363"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70.0</w:t>
            </w:r>
          </w:p>
        </w:tc>
      </w:tr>
      <w:tr w:rsidR="00ED0CCF" w:rsidRPr="00ED0CCF" w14:paraId="755637BD" w14:textId="77777777" w:rsidTr="00ED0CCF">
        <w:trPr>
          <w:trHeight w:val="165"/>
        </w:trPr>
        <w:tc>
          <w:tcPr>
            <w:tcW w:w="1075" w:type="dxa"/>
            <w:vMerge/>
          </w:tcPr>
          <w:p w14:paraId="6FCEE4CE" w14:textId="77777777" w:rsidR="00112F64" w:rsidRPr="00ED0CCF" w:rsidRDefault="00112F64" w:rsidP="002B358B">
            <w:pPr>
              <w:autoSpaceDE w:val="0"/>
              <w:autoSpaceDN w:val="0"/>
              <w:adjustRightInd w:val="0"/>
              <w:jc w:val="both"/>
              <w:rPr>
                <w:rFonts w:ascii="Arial" w:hAnsi="Arial" w:cs="Arial"/>
              </w:rPr>
            </w:pPr>
          </w:p>
        </w:tc>
        <w:tc>
          <w:tcPr>
            <w:tcW w:w="1170" w:type="dxa"/>
          </w:tcPr>
          <w:p w14:paraId="6F2CB06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Medium</w:t>
            </w:r>
          </w:p>
        </w:tc>
        <w:tc>
          <w:tcPr>
            <w:tcW w:w="1620" w:type="dxa"/>
          </w:tcPr>
          <w:p w14:paraId="2078BCD5"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w:t>
            </w:r>
          </w:p>
        </w:tc>
        <w:tc>
          <w:tcPr>
            <w:tcW w:w="1350" w:type="dxa"/>
          </w:tcPr>
          <w:p w14:paraId="52F107A0"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30.0</w:t>
            </w:r>
          </w:p>
        </w:tc>
        <w:tc>
          <w:tcPr>
            <w:tcW w:w="1170" w:type="dxa"/>
          </w:tcPr>
          <w:p w14:paraId="03BE7393"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30.0</w:t>
            </w:r>
          </w:p>
        </w:tc>
        <w:tc>
          <w:tcPr>
            <w:tcW w:w="2036" w:type="dxa"/>
            <w:gridSpan w:val="2"/>
          </w:tcPr>
          <w:p w14:paraId="3C6477D7"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r>
      <w:tr w:rsidR="00ED0CCF" w:rsidRPr="00ED0CCF" w14:paraId="24D544ED" w14:textId="77777777" w:rsidTr="00ED0CCF">
        <w:trPr>
          <w:trHeight w:val="165"/>
        </w:trPr>
        <w:tc>
          <w:tcPr>
            <w:tcW w:w="1075" w:type="dxa"/>
            <w:vMerge/>
          </w:tcPr>
          <w:p w14:paraId="07A53630" w14:textId="77777777" w:rsidR="00112F64" w:rsidRPr="00ED0CCF" w:rsidRDefault="00112F64" w:rsidP="002B358B">
            <w:pPr>
              <w:autoSpaceDE w:val="0"/>
              <w:autoSpaceDN w:val="0"/>
              <w:adjustRightInd w:val="0"/>
              <w:jc w:val="both"/>
              <w:rPr>
                <w:rFonts w:ascii="Arial" w:hAnsi="Arial" w:cs="Arial"/>
              </w:rPr>
            </w:pPr>
          </w:p>
        </w:tc>
        <w:tc>
          <w:tcPr>
            <w:tcW w:w="1170" w:type="dxa"/>
          </w:tcPr>
          <w:p w14:paraId="681C91E6"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Total</w:t>
            </w:r>
          </w:p>
        </w:tc>
        <w:tc>
          <w:tcPr>
            <w:tcW w:w="1620" w:type="dxa"/>
          </w:tcPr>
          <w:p w14:paraId="2B1602D1"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w:t>
            </w:r>
          </w:p>
        </w:tc>
        <w:tc>
          <w:tcPr>
            <w:tcW w:w="1350" w:type="dxa"/>
          </w:tcPr>
          <w:p w14:paraId="0676D2BD"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c>
          <w:tcPr>
            <w:tcW w:w="1170" w:type="dxa"/>
          </w:tcPr>
          <w:p w14:paraId="177F42BA" w14:textId="77777777" w:rsidR="00112F64" w:rsidRPr="00ED0CCF" w:rsidRDefault="00112F64" w:rsidP="002B358B">
            <w:pPr>
              <w:autoSpaceDE w:val="0"/>
              <w:autoSpaceDN w:val="0"/>
              <w:adjustRightInd w:val="0"/>
              <w:spacing w:line="320" w:lineRule="atLeast"/>
              <w:ind w:left="60" w:right="60"/>
              <w:jc w:val="both"/>
              <w:rPr>
                <w:rFonts w:ascii="Arial" w:hAnsi="Arial" w:cs="Arial"/>
              </w:rPr>
            </w:pPr>
            <w:r w:rsidRPr="00ED0CCF">
              <w:rPr>
                <w:rFonts w:ascii="Arial" w:hAnsi="Arial" w:cs="Arial"/>
              </w:rPr>
              <w:t>100.0</w:t>
            </w:r>
          </w:p>
        </w:tc>
        <w:tc>
          <w:tcPr>
            <w:tcW w:w="2036" w:type="dxa"/>
            <w:gridSpan w:val="2"/>
          </w:tcPr>
          <w:p w14:paraId="082F978A" w14:textId="77777777" w:rsidR="00112F64" w:rsidRPr="00ED0CCF" w:rsidRDefault="00112F64" w:rsidP="002B358B">
            <w:pPr>
              <w:autoSpaceDE w:val="0"/>
              <w:autoSpaceDN w:val="0"/>
              <w:adjustRightInd w:val="0"/>
              <w:jc w:val="both"/>
            </w:pPr>
          </w:p>
        </w:tc>
      </w:tr>
    </w:tbl>
    <w:p w14:paraId="5F0AF004" w14:textId="7D296FDE" w:rsidR="00112F64" w:rsidRPr="00112F64" w:rsidRDefault="00112F64" w:rsidP="002B358B">
      <w:pPr>
        <w:autoSpaceDE w:val="0"/>
        <w:autoSpaceDN w:val="0"/>
        <w:adjustRightInd w:val="0"/>
        <w:spacing w:line="400" w:lineRule="atLeast"/>
        <w:jc w:val="both"/>
      </w:pPr>
    </w:p>
    <w:p w14:paraId="30F004A0" w14:textId="77777777" w:rsidR="00112F64" w:rsidRPr="00112F64" w:rsidRDefault="00112F64" w:rsidP="002B358B">
      <w:pPr>
        <w:autoSpaceDE w:val="0"/>
        <w:autoSpaceDN w:val="0"/>
        <w:adjustRightInd w:val="0"/>
        <w:spacing w:line="400" w:lineRule="atLeast"/>
        <w:jc w:val="both"/>
      </w:pPr>
    </w:p>
    <w:p w14:paraId="02EE44AC" w14:textId="77777777" w:rsidR="00112F64" w:rsidRPr="00112F64" w:rsidRDefault="00112F64">
      <w:pPr>
        <w:numPr>
          <w:ilvl w:val="0"/>
          <w:numId w:val="12"/>
        </w:numPr>
        <w:autoSpaceDE w:val="0"/>
        <w:autoSpaceDN w:val="0"/>
        <w:adjustRightInd w:val="0"/>
        <w:spacing w:line="400" w:lineRule="atLeast"/>
        <w:contextualSpacing/>
        <w:jc w:val="both"/>
        <w:rPr>
          <w:b/>
          <w:bCs/>
        </w:rPr>
      </w:pPr>
      <w:r w:rsidRPr="00112F64">
        <w:rPr>
          <w:b/>
          <w:bCs/>
        </w:rPr>
        <w:t>Findings and Reflections on Residential Fire Risk Assessments in Harare</w:t>
      </w:r>
    </w:p>
    <w:p w14:paraId="09CD2619" w14:textId="77777777" w:rsidR="00112F64" w:rsidRPr="00112F64" w:rsidRDefault="00112F64" w:rsidP="002B358B">
      <w:pPr>
        <w:autoSpaceDE w:val="0"/>
        <w:autoSpaceDN w:val="0"/>
        <w:adjustRightInd w:val="0"/>
        <w:spacing w:line="400" w:lineRule="atLeast"/>
        <w:jc w:val="both"/>
      </w:pPr>
      <w:r w:rsidRPr="00112F64">
        <w:t>The landscape of fire risk assessment in Harare reveals a significant gap: residential dwellings are not systematically evaluated for fire hazards, and there is no dedicated mechanism within the fire services to monitor or enforce fire safety in homes. This situation arises from a combination of outdated legal frameworks, organizational limitations, and organizational priorities that restrict the Harare Fire Brigade (HFB) from extending its risk assessment responsibilities beyond commercial premises. As a result, there is a rise in residential fire incidents and missed opportunities for prevention, early hazard detection, and corrective measures within homes.</w:t>
      </w:r>
    </w:p>
    <w:p w14:paraId="1E3B359F" w14:textId="29DF7DEA" w:rsidR="00112F64" w:rsidRPr="00112F64" w:rsidRDefault="00112F64" w:rsidP="002B358B">
      <w:pPr>
        <w:autoSpaceDE w:val="0"/>
        <w:autoSpaceDN w:val="0"/>
        <w:adjustRightInd w:val="0"/>
        <w:spacing w:line="400" w:lineRule="atLeast"/>
        <w:jc w:val="both"/>
      </w:pPr>
      <w:r w:rsidRPr="00112F64">
        <w:t xml:space="preserve">A key finding is the absence of formal residential risk assessments. Although the Harare Fire Brigade conducts risk assessments, these are primarily confined to commercial properties. The existing legislative and policy </w:t>
      </w:r>
      <w:r w:rsidR="00ED0CCF" w:rsidRPr="00112F64">
        <w:t>frameworks,</w:t>
      </w:r>
      <w:r w:rsidRPr="00112F64">
        <w:t xml:space="preserve"> namely the model building by-laws of 1977 and the Salisbury fire by-laws of 1968 were designed with a commercial focus. They do not authorize or mandate safety inspections or assessments for residential dwellings. Consequently, common household hazards such as overloaded electrical circuits, unattended cooking, faulty wiring, and improper storage of flammable materials remain largely unmonitored. This structural oversight </w:t>
      </w:r>
      <w:r w:rsidRPr="00112F64">
        <w:lastRenderedPageBreak/>
        <w:t>raises concerns about the effectiveness of risk mitigation; without formal assessments, authorities cannot adequately anticipate or prevent residential fires.</w:t>
      </w:r>
    </w:p>
    <w:p w14:paraId="6084E97F" w14:textId="77777777" w:rsidR="00112F64" w:rsidRPr="00112F64" w:rsidRDefault="00112F64" w:rsidP="002B358B">
      <w:pPr>
        <w:autoSpaceDE w:val="0"/>
        <w:autoSpaceDN w:val="0"/>
        <w:adjustRightInd w:val="0"/>
        <w:spacing w:line="400" w:lineRule="atLeast"/>
        <w:jc w:val="both"/>
      </w:pPr>
      <w:r w:rsidRPr="00112F64">
        <w:t>The restrictive nature of the by-laws highlights why residential properties are excluded from formal safety oversight. These regulations were crafted primarily for commercial settings, guiding the installation and recommendation of fire protection systems for business premises but not extending to private homes. This legal gap results in a governance asymmetry: commercial properties benefit from formal protections and inspections, whereas residential properties rely on informal or no oversight, leaving residents vulnerable to hazards that could be identified and addressed proactively.</w:t>
      </w:r>
    </w:p>
    <w:p w14:paraId="65FE886F" w14:textId="77777777" w:rsidR="00112F64" w:rsidRPr="00112F64" w:rsidRDefault="00112F64" w:rsidP="002B358B">
      <w:pPr>
        <w:autoSpaceDE w:val="0"/>
        <w:autoSpaceDN w:val="0"/>
        <w:adjustRightInd w:val="0"/>
        <w:spacing w:line="400" w:lineRule="atLeast"/>
        <w:jc w:val="both"/>
      </w:pPr>
      <w:r w:rsidRPr="00112F64">
        <w:t>Adding to this challenge is the lack of a dedicated residential fire safety inspection unit within the Harare Fire Brigade. There is no specialized department responsible for inspecting homes, educating residents, or enforcing safety standards. This organizational gap hampers prevention efforts, data collection, and trend analysis. Without systematic inspections, the fire service’s response remains reactive, addressing incidents after they occur rather than proactively reducing risks beforehand.</w:t>
      </w:r>
    </w:p>
    <w:p w14:paraId="70C50401" w14:textId="77777777" w:rsidR="00112F64" w:rsidRPr="00112F64" w:rsidRDefault="00112F64" w:rsidP="002B358B">
      <w:pPr>
        <w:autoSpaceDE w:val="0"/>
        <w:autoSpaceDN w:val="0"/>
        <w:adjustRightInd w:val="0"/>
        <w:spacing w:line="400" w:lineRule="atLeast"/>
        <w:jc w:val="both"/>
      </w:pPr>
      <w:r w:rsidRPr="00112F64">
        <w:t>The perceived link between the lack of residential assessments and rising fire incidents underscores the urgency of reform. While empirical data is needed to establish causality definitively, it is plausible that unaddressed hazards contribute to increased fire risks in homes. The absence of formal assessments means hazards can go unnoticed and unmitigated, resulting in more frequent and severe residential fires. This governance failure imposes a heavy burden on communities and diminishes the fire service’s capacity for early hazard identification and intervention.</w:t>
      </w:r>
    </w:p>
    <w:p w14:paraId="513799F7" w14:textId="77777777" w:rsidR="00112F64" w:rsidRPr="00112F64" w:rsidRDefault="00112F64" w:rsidP="002B358B">
      <w:pPr>
        <w:autoSpaceDE w:val="0"/>
        <w:autoSpaceDN w:val="0"/>
        <w:adjustRightInd w:val="0"/>
        <w:spacing w:line="400" w:lineRule="atLeast"/>
        <w:jc w:val="both"/>
      </w:pPr>
    </w:p>
    <w:p w14:paraId="5D1A7F75" w14:textId="77777777" w:rsidR="00112F64" w:rsidRPr="00112F64" w:rsidRDefault="00112F64" w:rsidP="00394501">
      <w:pPr>
        <w:pStyle w:val="Heading2"/>
      </w:pPr>
    </w:p>
    <w:p w14:paraId="5C988677" w14:textId="76DC23E4" w:rsidR="00112F64" w:rsidRPr="00112F64" w:rsidRDefault="00112F64" w:rsidP="00394501">
      <w:pPr>
        <w:pStyle w:val="Heading2"/>
      </w:pPr>
      <w:bookmarkStart w:id="118" w:name="_Toc215652937"/>
      <w:r w:rsidRPr="00112F64">
        <w:t>4.</w:t>
      </w:r>
      <w:r w:rsidR="00B560D5">
        <w:t>6</w:t>
      </w:r>
      <w:r w:rsidRPr="00112F64">
        <w:t xml:space="preserve"> Evaluation of Fire Prevention and Response Mechanisms</w:t>
      </w:r>
      <w:bookmarkEnd w:id="118"/>
    </w:p>
    <w:p w14:paraId="626B70B3" w14:textId="6EBD3B9F" w:rsidR="00112F64" w:rsidRPr="00112F64" w:rsidRDefault="00112F64" w:rsidP="002B358B">
      <w:pPr>
        <w:pStyle w:val="Heading3"/>
        <w:jc w:val="both"/>
      </w:pPr>
      <w:bookmarkStart w:id="119" w:name="_Toc215652938"/>
      <w:r w:rsidRPr="00112F64">
        <w:t>4.</w:t>
      </w:r>
      <w:r w:rsidR="00B560D5">
        <w:t>6</w:t>
      </w:r>
      <w:r w:rsidRPr="00112F64">
        <w:t>.1 Policy and Institutional Context</w:t>
      </w:r>
      <w:bookmarkEnd w:id="119"/>
    </w:p>
    <w:p w14:paraId="4ECF6B54" w14:textId="77777777" w:rsidR="00112F64" w:rsidRPr="00112F64" w:rsidRDefault="00112F64" w:rsidP="002B358B">
      <w:pPr>
        <w:spacing w:line="360" w:lineRule="auto"/>
        <w:jc w:val="both"/>
      </w:pPr>
      <w:r w:rsidRPr="00112F64">
        <w:t xml:space="preserve">The fire brigade’s establishment and its operating framework arise from a layered set of legal instruments that together shape how fire safety is managed within a municipality. At the apex of this framework is the Urban Councils Act, Chapter 29:15, Section 200, which grants local authorities the mandate to establish and maintain a municipal fire service. This provision embeds the fire brigade within the broader responsibilities of urban governance, ensuring that fire protection is treated as an essential municipal service rather than a purely private or ad hoc responsibility. The act thus legitimizes the creation of a dedicated fire authority within the urban </w:t>
      </w:r>
      <w:r w:rsidRPr="00112F64">
        <w:lastRenderedPageBreak/>
        <w:t xml:space="preserve">council, enabling it to plan, fund, and oversee fire prevention, suppression, and emergency response operations across the jurisdiction. By situating the fire service within local government, the act also anchors fire safety in the locality’s development plans, budgeting processes, and broader public health and safety objectives. In this sense, the Urban Councils Act provides the constitutional basis for municipal action, while the subsequent instruments translate that broad mandate into concrete standards and enforcement mechanisms. </w:t>
      </w:r>
      <w:r w:rsidRPr="00ED0CCF">
        <w:t>(Urban Councils Act Ch; 29:15)</w:t>
      </w:r>
    </w:p>
    <w:p w14:paraId="0655495D" w14:textId="77777777" w:rsidR="00112F64" w:rsidRPr="00112F64" w:rsidRDefault="00112F64" w:rsidP="002B358B">
      <w:pPr>
        <w:spacing w:line="360" w:lineRule="auto"/>
        <w:jc w:val="both"/>
      </w:pPr>
    </w:p>
    <w:p w14:paraId="10EC3214" w14:textId="7FB2F54D" w:rsidR="00112F64" w:rsidRPr="00ED0CCF" w:rsidRDefault="00112F64" w:rsidP="002B358B">
      <w:pPr>
        <w:spacing w:line="360" w:lineRule="auto"/>
        <w:jc w:val="both"/>
      </w:pPr>
      <w:r w:rsidRPr="00112F64">
        <w:t xml:space="preserve">To operationalize the mandate conferred by the Urban Councils Act, the fire authority relies on a suite of by-laws and regulatory instruments that prescribe specific fire safety requirements. A central instrument in this regulatory ecosystem is the Model Building By-laws of 1977. These model by-laws function as a reference framework that outlines the minimum standards for building construction and safety, with explicit emphasis on fire protection. They set out the types and specifications of fire protection equipment that buildings must install, covering elements such as extinguishers, hose reels, fire detection systems, and fire alarms. Beyond mere installation, the by-laws govern the lifecycle of fire safety in </w:t>
      </w:r>
      <w:r w:rsidR="00ED0CCF" w:rsidRPr="00112F64">
        <w:t xml:space="preserve">buildings, </w:t>
      </w:r>
      <w:r w:rsidRPr="00112F64">
        <w:t xml:space="preserve">from design and construction to occupancy and ongoing maintenance. They provide the basis for compliance during inspections, determine what constitutes a breach, and establish the penalties that may be imposed for non-compliance. In practice, these model by-laws are typically adapted by the local authority to reflect local risk profiles, resource constraints, and enforcement capacity, but they retain normative force as the standard against which buildings are measured. For property owners and developers, the Model Building By-laws create a normative expectation: to obtain occupancy permits and to operate legally, buildings must meet the stipulated fire safety equipment and procedural requirements. For the fire authority, the by-laws supply a clear yardstick for auditing compliance, prioritizing inspection efforts, and guiding corrective actions when deficiencies are </w:t>
      </w:r>
      <w:r w:rsidRPr="00ED0CCF">
        <w:t>found (Model Building bylaws 1977).</w:t>
      </w:r>
    </w:p>
    <w:p w14:paraId="5049F312" w14:textId="5C65EB4F" w:rsidR="00112F64" w:rsidRPr="00112F64" w:rsidRDefault="00112F64" w:rsidP="002B358B">
      <w:pPr>
        <w:spacing w:line="360" w:lineRule="auto"/>
        <w:jc w:val="both"/>
        <w:rPr>
          <w:color w:val="FF0000"/>
        </w:rPr>
      </w:pPr>
      <w:r w:rsidRPr="00112F64">
        <w:t xml:space="preserve">Complementing the building standards are more specialized regulations governing the storage and handling of hazardous materials, specifically flammable liquids. Government Notices 1026 and 1027 of 1949 regulate the storage of flammable liquids, prescribing detailed requirements such as storage quantities, container types, separation distances, ventilation, labeling, and handling procedures. These notices also outline licensing and permitting processes for premises that store flammable liquids, as well as safety measures like spill containment, emergency shutdown </w:t>
      </w:r>
      <w:r w:rsidRPr="00112F64">
        <w:lastRenderedPageBreak/>
        <w:t xml:space="preserve">capabilities, and unobstructed access for emergency responders. The regulatory objective here is to minimize the risk associated with flammable liquids by enforcing robust containment, good engineering controls, and clear operational protocols. In the daily practice of the fire service, these notices provide a precise framework for risk assessment and compliance verification. The inspection teams can determine whether </w:t>
      </w:r>
      <w:r w:rsidR="00ED0CCF" w:rsidRPr="00112F64">
        <w:t>storage is</w:t>
      </w:r>
      <w:r w:rsidRPr="00112F64">
        <w:t xml:space="preserve"> configured to prevent ignition sources from interacting with flammable materials, whether proper containment measures are in place to manage spills, and whether emergency response arrangements meet established standards. Given the potential volatility of flammable liquids, the Notices function as specialized guardrails that complement broader building safety requirements, ensuring that high-risk materials are managed with heightened controls </w:t>
      </w:r>
      <w:r w:rsidRPr="00ED0CCF">
        <w:t>(Gov. notice 1026, 1949; Gov. notice 1027 1949).</w:t>
      </w:r>
    </w:p>
    <w:p w14:paraId="3FFED028" w14:textId="77777777" w:rsidR="00112F64" w:rsidRPr="00112F64" w:rsidRDefault="00112F64" w:rsidP="002B358B">
      <w:pPr>
        <w:spacing w:line="360" w:lineRule="auto"/>
        <w:jc w:val="both"/>
      </w:pPr>
    </w:p>
    <w:p w14:paraId="2D846779" w14:textId="77777777" w:rsidR="00112F64" w:rsidRPr="00112F64" w:rsidRDefault="00112F64" w:rsidP="002B358B">
      <w:pPr>
        <w:spacing w:line="360" w:lineRule="auto"/>
        <w:jc w:val="both"/>
      </w:pPr>
      <w:r w:rsidRPr="00112F64">
        <w:t>A third instrument of the regulatory system is the Salisbury Municipal Fire Bylaws of 1968, which tailor fire safety oversight to the local context of Harare. These bylaws empower the Chief Fire Officer (CFO) with authority to inspect business premises specifically non-residential occupancies such as shops, offices, factories, and warehouses to verify that adequate fire prevention measures are being maintained. The focus on non-residential premises reflects a pragmatic allocation of enforcement resources and risk prioritization, recognizing that commercial and industrial environments often present greater or different fire hazards than residential dwellings. The bylaws thus operationalize the overarching authority into on-the-ground inspection practices, enabling the CFO to identify deficiencies, require remedial actions, issue notices, and pursue penalties where necessary. They also help create a predictable enforcement cycle, outlining inspection frequencies, reporting requirements, and the consequences of non-compliance. These bylaws translate the general duty to protect life and property into targeted oversight of commercial and industrial fire safety, reinforcing the duty of business owners and managers to maintain functioning fire protection systems, clear egress routes, proper storage practices, and other preventive measures (Gov. notice 843, 1968)</w:t>
      </w:r>
    </w:p>
    <w:p w14:paraId="4B8257BC" w14:textId="77777777" w:rsidR="00112F64" w:rsidRPr="00112F64" w:rsidRDefault="00112F64" w:rsidP="002B358B">
      <w:pPr>
        <w:spacing w:line="360" w:lineRule="auto"/>
        <w:jc w:val="both"/>
      </w:pPr>
    </w:p>
    <w:p w14:paraId="626CABC6" w14:textId="0E4E6DE8" w:rsidR="00112F64" w:rsidRPr="00112F64" w:rsidRDefault="00112F64" w:rsidP="002B358B">
      <w:pPr>
        <w:spacing w:line="360" w:lineRule="auto"/>
        <w:jc w:val="both"/>
      </w:pPr>
      <w:r w:rsidRPr="00112F64">
        <w:t xml:space="preserve">The interplay among these instruments Chapter 29:15, Section 200; Model Building By-laws 1977; Government Notices 1026 and 1027 of 1949; and the Salisbury Municipal Fire Bylaws 1968 creates a coherent regulatory ecosystem designed to protect life, property, and economic activity. The Urban Councils Act anchors </w:t>
      </w:r>
      <w:r w:rsidR="00ED0CCF" w:rsidRPr="00112F64">
        <w:t>fire</w:t>
      </w:r>
      <w:r w:rsidRPr="00112F64">
        <w:t xml:space="preserve"> service within municipal governance and public </w:t>
      </w:r>
      <w:r w:rsidRPr="00112F64">
        <w:lastRenderedPageBreak/>
        <w:t xml:space="preserve">accountability. The Model Building By-laws translate this mandate into universal safety specifications for structures, ensuring a baseline level of protection across new and existing buildings. The flammable liquids notices provide specialized, risk-focused controls for one of the most hazardous categories of materials, ensuring that those handling such substances do so under stringent safety conditions. The Salisbury </w:t>
      </w:r>
      <w:r w:rsidR="00ED0CCF" w:rsidRPr="00112F64">
        <w:t>Bylaws</w:t>
      </w:r>
      <w:r w:rsidRPr="00112F64">
        <w:t xml:space="preserve"> operationalize the enforcement process at the local level, granting the CFO the authority to inspect, report, and compel compliance in non-residential premises. Together, they establish a layered framework of authority, standards, and enforcement that aligns prevention and response with the unique risk landscape of the urban area.</w:t>
      </w:r>
    </w:p>
    <w:p w14:paraId="7E06BB05" w14:textId="77777777" w:rsidR="00112F64" w:rsidRPr="00112F64" w:rsidRDefault="00112F64" w:rsidP="002B358B">
      <w:pPr>
        <w:spacing w:line="360" w:lineRule="auto"/>
        <w:jc w:val="both"/>
      </w:pPr>
    </w:p>
    <w:p w14:paraId="6341A4D4" w14:textId="77777777" w:rsidR="00112F64" w:rsidRPr="00112F64" w:rsidRDefault="00112F64" w:rsidP="002B358B">
      <w:pPr>
        <w:spacing w:line="360" w:lineRule="auto"/>
        <w:jc w:val="both"/>
      </w:pPr>
      <w:r w:rsidRPr="00112F64">
        <w:t>In terms of practical implications for stakeholders, property owners, developers, and facility managers should view these instruments as an integrated compliance agenda rather than separate checklists. Compliance begins with understanding that fire safety is a municipal obligation and a legal duty tied to the lawful operation of a building or business. For new developments, adherence to Model Building By-laws 1977 is essential during design and construction, ensuring that fire protection systems are embedded from the outset. For any operation involving flammable liquids, Government Notices 1026 and 1027 of 1949 prescribe specific storage and handling practices that must be observed, with attention to volumes, container integrity, ventilation, separation distances, and emergency readiness. For non-residential premises, routine inspections under Salisbury Municipal Fire Bylaws 1968 determine ongoing compliance, focusing on exits, extinguishers, emergency lighting, signage, electrical safety, housekeeping, and appropriate storage of combustibles. Non-compliance triggers enforcement actions, ranging from corrective orders to fines or occupancy restrictions, creating a tangible incentive for stakeholders to maintain robust fire safety measures.</w:t>
      </w:r>
    </w:p>
    <w:p w14:paraId="685D3626" w14:textId="77777777" w:rsidR="00112F64" w:rsidRPr="00112F64" w:rsidRDefault="00112F64" w:rsidP="002B358B">
      <w:pPr>
        <w:spacing w:line="360" w:lineRule="auto"/>
        <w:jc w:val="both"/>
      </w:pPr>
    </w:p>
    <w:p w14:paraId="5AF3478A" w14:textId="77777777" w:rsidR="00112F64" w:rsidRPr="00112F64" w:rsidRDefault="00112F64" w:rsidP="002B358B">
      <w:pPr>
        <w:spacing w:line="360" w:lineRule="auto"/>
        <w:jc w:val="both"/>
      </w:pPr>
      <w:r w:rsidRPr="00112F64">
        <w:t>The City of Harare currently relies on the Regional Town and Country Planning Act (Chapter 29:12) as the legal backbone for spatial planning and town planning. Within this framework, the city’s town planning department bears the responsibility of developing master plans that guide land use, housing, infrastructure, and essential services across defined planning horizons. These master plans are designed to be revisited on a 20-year cycle, a cadence that allows the city to incorporate shifting demographics, evolving economic conditions, climate resilience considerations, and advances in technology and governance. The process is inherently forward-</w:t>
      </w:r>
      <w:r w:rsidRPr="00112F64">
        <w:lastRenderedPageBreak/>
        <w:t>looking, seeking to translate a collective urban vision into spatially explicit directives—zoning, transport networks, service provision, green space, and, increasingly, hazard mitigation and disaster risk reduction. Central to the legitimacy and effectiveness of such plans is robust stakeholder consultation.</w:t>
      </w:r>
    </w:p>
    <w:p w14:paraId="420C5D03" w14:textId="77777777" w:rsidR="00112F64" w:rsidRPr="00112F64" w:rsidRDefault="00112F64" w:rsidP="002B358B">
      <w:pPr>
        <w:spacing w:line="360" w:lineRule="auto"/>
        <w:jc w:val="both"/>
      </w:pPr>
    </w:p>
    <w:p w14:paraId="0A6A5DB6" w14:textId="16A0022D" w:rsidR="00112F64" w:rsidRPr="00112F64" w:rsidRDefault="00112F64" w:rsidP="002B358B">
      <w:pPr>
        <w:pStyle w:val="Heading3"/>
        <w:jc w:val="both"/>
      </w:pPr>
      <w:bookmarkStart w:id="120" w:name="_Toc215652939"/>
      <w:r w:rsidRPr="00112F64">
        <w:t>4.</w:t>
      </w:r>
      <w:r w:rsidR="00B560D5">
        <w:t>6</w:t>
      </w:r>
      <w:r w:rsidRPr="00112F64">
        <w:t>.2 Effectiveness by Category</w:t>
      </w:r>
      <w:bookmarkEnd w:id="120"/>
    </w:p>
    <w:p w14:paraId="2D99D64D" w14:textId="77777777" w:rsidR="00112F64" w:rsidRPr="00112F64" w:rsidRDefault="00112F64" w:rsidP="002B358B">
      <w:pPr>
        <w:spacing w:line="360" w:lineRule="auto"/>
        <w:jc w:val="both"/>
      </w:pPr>
      <w:r w:rsidRPr="00112F64">
        <w:t>Fire protection in the city is organized around four primary stations with a plan to expand to six more, aiming for a five-minute average response to any emergency. This structure, together with manpower levels and asset adequacy, shapes how effectively the fire service can prevent, respond to, and control a range of fire scenarios—from commercial and industrial incidents to domestic fires, market fires, dumpsites, and grass fires. This section examines how the current organization, staffing, and equipment influence outcomes across these fire types and offers implications for policy and practice.</w:t>
      </w:r>
    </w:p>
    <w:p w14:paraId="01BF10E2" w14:textId="77777777" w:rsidR="00112F64" w:rsidRPr="00112F64" w:rsidRDefault="00112F64">
      <w:pPr>
        <w:numPr>
          <w:ilvl w:val="0"/>
          <w:numId w:val="16"/>
        </w:numPr>
        <w:spacing w:line="360" w:lineRule="auto"/>
        <w:contextualSpacing/>
        <w:jc w:val="both"/>
        <w:rPr>
          <w:b/>
          <w:bCs/>
        </w:rPr>
      </w:pPr>
      <w:r w:rsidRPr="00112F64">
        <w:rPr>
          <w:b/>
          <w:bCs/>
        </w:rPr>
        <w:t>Organizational Structure and Its Consequences for All Fire Types</w:t>
      </w:r>
    </w:p>
    <w:p w14:paraId="19F75777" w14:textId="77777777" w:rsidR="00112F64" w:rsidRPr="00112F64" w:rsidRDefault="00112F64" w:rsidP="002B358B">
      <w:pPr>
        <w:spacing w:line="360" w:lineRule="auto"/>
        <w:jc w:val="both"/>
      </w:pPr>
      <w:r w:rsidRPr="00112F64">
        <w:t>The Fire Brigade operates through Central, Greendale, Waterfalls, and Kuwadzana stations, each serving distinct geographic sectors with mutual-aid capabilities. The Central Fire Station acts as the Emergency Services Headquarters, coordinating responses and supporting the other stations during high demand. A planned expansion to Marlborough, Mount Pleasant, Park-meadowlands, Gaydon, Pomona, and Budiriro is intended to create a more robust, evenly distributed network and to reduce average response times to five minutes.</w:t>
      </w:r>
    </w:p>
    <w:p w14:paraId="40E32DE6" w14:textId="77777777" w:rsidR="00112F64" w:rsidRPr="00112F64" w:rsidRDefault="00112F64">
      <w:pPr>
        <w:numPr>
          <w:ilvl w:val="0"/>
          <w:numId w:val="15"/>
        </w:numPr>
        <w:spacing w:line="360" w:lineRule="auto"/>
        <w:contextualSpacing/>
        <w:jc w:val="both"/>
        <w:rPr>
          <w:b/>
          <w:bCs/>
        </w:rPr>
      </w:pPr>
      <w:r w:rsidRPr="00112F64">
        <w:rPr>
          <w:b/>
          <w:bCs/>
        </w:rPr>
        <w:t>Impact across fire types:</w:t>
      </w:r>
    </w:p>
    <w:p w14:paraId="6664ADD7" w14:textId="77777777" w:rsidR="00112F64" w:rsidRPr="00112F64" w:rsidRDefault="00112F64" w:rsidP="002B358B">
      <w:pPr>
        <w:spacing w:line="360" w:lineRule="auto"/>
        <w:jc w:val="both"/>
      </w:pPr>
      <w:r w:rsidRPr="00112F64">
        <w:t>Improved geographic coverage and mutual aid capacity can shorten response times citywide, enabling faster containment and less resource waste in all fire scenarios. A centralized command hub should enhance incident management, information flow, and strategic deployment during complex events (e.g., market fires, dumpsite fires, large-scale grass fires).</w:t>
      </w:r>
    </w:p>
    <w:p w14:paraId="3F6DF06A" w14:textId="77777777" w:rsidR="00112F64" w:rsidRPr="00112F64" w:rsidRDefault="00112F64">
      <w:pPr>
        <w:numPr>
          <w:ilvl w:val="0"/>
          <w:numId w:val="15"/>
        </w:numPr>
        <w:spacing w:line="360" w:lineRule="auto"/>
        <w:contextualSpacing/>
        <w:jc w:val="both"/>
        <w:rPr>
          <w:b/>
          <w:bCs/>
        </w:rPr>
      </w:pPr>
      <w:r w:rsidRPr="00112F64">
        <w:rPr>
          <w:b/>
          <w:bCs/>
        </w:rPr>
        <w:t>Manpower and Staffing Gaps: Frontline Capacity Under Strain</w:t>
      </w:r>
    </w:p>
    <w:p w14:paraId="77ACEE24" w14:textId="77777777" w:rsidR="00112F64" w:rsidRPr="00112F64" w:rsidRDefault="00112F64" w:rsidP="002B358B">
      <w:pPr>
        <w:spacing w:line="360" w:lineRule="auto"/>
        <w:jc w:val="both"/>
      </w:pPr>
      <w:r w:rsidRPr="00112F64">
        <w:t>The current manpower profile shows a total strength of 320 with 226 filled positions and 94 vacancies. Fire and rescue personnel account for 253 posts with 174 filled and 79 vacancies, while administration shows 67 posts with 52 filled and 15 vacancies.</w:t>
      </w:r>
    </w:p>
    <w:p w14:paraId="4038E0E6" w14:textId="77777777" w:rsidR="00112F64" w:rsidRPr="00112F64" w:rsidRDefault="00112F64">
      <w:pPr>
        <w:numPr>
          <w:ilvl w:val="0"/>
          <w:numId w:val="16"/>
        </w:numPr>
        <w:spacing w:line="360" w:lineRule="auto"/>
        <w:contextualSpacing/>
        <w:jc w:val="both"/>
        <w:rPr>
          <w:b/>
          <w:bCs/>
        </w:rPr>
      </w:pPr>
      <w:r w:rsidRPr="00112F64">
        <w:rPr>
          <w:b/>
          <w:bCs/>
        </w:rPr>
        <w:t>Impact on fire outcomes</w:t>
      </w:r>
    </w:p>
    <w:p w14:paraId="6118C147" w14:textId="77777777" w:rsidR="00112F64" w:rsidRPr="00112F64" w:rsidRDefault="00112F64" w:rsidP="002B358B">
      <w:pPr>
        <w:spacing w:line="360" w:lineRule="auto"/>
        <w:jc w:val="both"/>
      </w:pPr>
      <w:r w:rsidRPr="00112F64">
        <w:lastRenderedPageBreak/>
        <w:t>Vacancy levels are substantial (nearly 29% overall; 31% in fire and rescue), which constrains daily coverage, standby capacity, and rapid response. Frontline vacancies have the most direct effect on the speed and aggressiveness of initial attack, escalation, and mutual-aid mobilization critical factors in commercial, industrial, and outdoor fires. Administrative shortages can hinder preventive planning, inspections, data management, and post-incident reporting, undermining long-term prevention and learning.</w:t>
      </w:r>
    </w:p>
    <w:p w14:paraId="0DBBA5F3" w14:textId="77777777" w:rsidR="00112F64" w:rsidRPr="00112F64" w:rsidRDefault="00112F64">
      <w:pPr>
        <w:numPr>
          <w:ilvl w:val="0"/>
          <w:numId w:val="12"/>
        </w:numPr>
        <w:spacing w:before="240" w:line="360" w:lineRule="auto"/>
        <w:contextualSpacing/>
        <w:jc w:val="both"/>
        <w:rPr>
          <w:b/>
          <w:bCs/>
        </w:rPr>
      </w:pPr>
      <w:r w:rsidRPr="00112F64">
        <w:rPr>
          <w:b/>
          <w:bCs/>
        </w:rPr>
        <w:t>Impact by fire type:</w:t>
      </w:r>
    </w:p>
    <w:p w14:paraId="72DA16FE" w14:textId="77777777" w:rsidR="00112F64" w:rsidRPr="00112F64" w:rsidRDefault="00112F64">
      <w:pPr>
        <w:numPr>
          <w:ilvl w:val="0"/>
          <w:numId w:val="17"/>
        </w:numPr>
        <w:spacing w:line="360" w:lineRule="auto"/>
        <w:contextualSpacing/>
        <w:jc w:val="both"/>
        <w:rPr>
          <w:b/>
          <w:bCs/>
        </w:rPr>
      </w:pPr>
      <w:r w:rsidRPr="00112F64">
        <w:rPr>
          <w:b/>
          <w:bCs/>
        </w:rPr>
        <w:t>Commercial Fires</w:t>
      </w:r>
    </w:p>
    <w:p w14:paraId="33B1058F" w14:textId="77777777" w:rsidR="00112F64" w:rsidRPr="00112F64" w:rsidRDefault="00112F64" w:rsidP="002B358B">
      <w:pPr>
        <w:spacing w:line="360" w:lineRule="auto"/>
        <w:jc w:val="both"/>
      </w:pPr>
      <w:r w:rsidRPr="00112F64">
        <w:t>Accessibility and reach are hampered by a low number of functional fire trucks (6/22) and no functional aerial ladders, limiting interior attacks on multi-story commercial buildings and hindering rapid search and rescue. Breathing apparatus stocks are near-ideal, supporting continued interior operations, but overall stock must be maintained during longer incidents. Administrative gaps can impede pre-fire planning for commercial hubs and the efficiency of prevention campaigns.</w:t>
      </w:r>
    </w:p>
    <w:p w14:paraId="292F1F62" w14:textId="77777777" w:rsidR="00112F64" w:rsidRPr="00112F64" w:rsidRDefault="00112F64">
      <w:pPr>
        <w:numPr>
          <w:ilvl w:val="0"/>
          <w:numId w:val="17"/>
        </w:numPr>
        <w:spacing w:line="360" w:lineRule="auto"/>
        <w:contextualSpacing/>
        <w:jc w:val="both"/>
        <w:rPr>
          <w:b/>
          <w:bCs/>
        </w:rPr>
      </w:pPr>
      <w:r w:rsidRPr="00112F64">
        <w:rPr>
          <w:b/>
          <w:bCs/>
        </w:rPr>
        <w:t>Industrial Fires</w:t>
      </w:r>
    </w:p>
    <w:p w14:paraId="0FD3C3AD" w14:textId="77777777" w:rsidR="00112F64" w:rsidRPr="00112F64" w:rsidRDefault="00112F64" w:rsidP="002B358B">
      <w:pPr>
        <w:spacing w:line="360" w:lineRule="auto"/>
        <w:jc w:val="both"/>
      </w:pPr>
      <w:r w:rsidRPr="00112F64">
        <w:t>Large-scale industrial fires demand robust frontline response and sometimes specialized capabilities. With only a fraction of frontline engines and zero functional aerial ladders, rapid initial attack is compromised, and reliance on mutual aid may delay containment. Functional specialist vehicles are scarce (3/9), constraining hazardous materials response and other industrial-specific tactics. The expansion plan could dramatically improve outcomes if assets and personnel are aligned with new coverage.</w:t>
      </w:r>
    </w:p>
    <w:p w14:paraId="4A068BDA" w14:textId="77777777" w:rsidR="00112F64" w:rsidRPr="00112F64" w:rsidRDefault="00112F64">
      <w:pPr>
        <w:numPr>
          <w:ilvl w:val="0"/>
          <w:numId w:val="17"/>
        </w:numPr>
        <w:spacing w:line="360" w:lineRule="auto"/>
        <w:contextualSpacing/>
        <w:jc w:val="both"/>
        <w:rPr>
          <w:b/>
          <w:bCs/>
        </w:rPr>
      </w:pPr>
      <w:r w:rsidRPr="00112F64">
        <w:rPr>
          <w:b/>
          <w:bCs/>
        </w:rPr>
        <w:t>Domestic Fires</w:t>
      </w:r>
    </w:p>
    <w:p w14:paraId="78301963" w14:textId="77777777" w:rsidR="00112F64" w:rsidRPr="00112F64" w:rsidRDefault="00112F64" w:rsidP="002B358B">
      <w:pPr>
        <w:spacing w:line="360" w:lineRule="auto"/>
        <w:jc w:val="both"/>
      </w:pPr>
      <w:r w:rsidRPr="00112F64">
        <w:t>Homes require rapid arrival of capable units and dependable breathing apparatus for safe interior operations. Current shortages in frontline vehicles and ladders threaten timely suppression and rescue, potentially increasing casualties and property damage. Improved coverage from new stations would help reduce response times in residential neighborhoods.</w:t>
      </w:r>
    </w:p>
    <w:p w14:paraId="684ADA15" w14:textId="77777777" w:rsidR="00112F64" w:rsidRPr="00112F64" w:rsidRDefault="00112F64">
      <w:pPr>
        <w:numPr>
          <w:ilvl w:val="0"/>
          <w:numId w:val="17"/>
        </w:numPr>
        <w:spacing w:line="360" w:lineRule="auto"/>
        <w:contextualSpacing/>
        <w:jc w:val="both"/>
        <w:rPr>
          <w:b/>
          <w:bCs/>
        </w:rPr>
      </w:pPr>
      <w:r w:rsidRPr="00112F64">
        <w:rPr>
          <w:b/>
          <w:bCs/>
        </w:rPr>
        <w:t>Home Industries</w:t>
      </w:r>
    </w:p>
    <w:p w14:paraId="1A9D3FDB" w14:textId="77777777" w:rsidR="00112F64" w:rsidRPr="00112F64" w:rsidRDefault="00112F64" w:rsidP="002B358B">
      <w:pPr>
        <w:spacing w:line="360" w:lineRule="auto"/>
        <w:jc w:val="both"/>
      </w:pPr>
      <w:r w:rsidRPr="00112F64">
        <w:t xml:space="preserve">Home-based production sites carry risks similar to domestic settings but many at times involve stored fuels and equipment. While prevention vehicles can support risk assessment and education, their limited functional status reduces preventive impact. A more extensive station network and </w:t>
      </w:r>
      <w:r w:rsidRPr="00112F64">
        <w:lastRenderedPageBreak/>
        <w:t>better prevention tooling would enhance compliance and risk reduction for small-scale home industries.</w:t>
      </w:r>
    </w:p>
    <w:p w14:paraId="1DA78170" w14:textId="77777777" w:rsidR="00112F64" w:rsidRPr="00112F64" w:rsidRDefault="00112F64">
      <w:pPr>
        <w:numPr>
          <w:ilvl w:val="0"/>
          <w:numId w:val="17"/>
        </w:numPr>
        <w:spacing w:line="360" w:lineRule="auto"/>
        <w:contextualSpacing/>
        <w:jc w:val="both"/>
        <w:rPr>
          <w:b/>
          <w:bCs/>
        </w:rPr>
      </w:pPr>
      <w:r w:rsidRPr="00112F64">
        <w:rPr>
          <w:b/>
          <w:bCs/>
        </w:rPr>
        <w:t>Market Fires</w:t>
      </w:r>
    </w:p>
    <w:p w14:paraId="3E1D671A" w14:textId="77777777" w:rsidR="00112F64" w:rsidRPr="00112F64" w:rsidRDefault="00112F64" w:rsidP="002B358B">
      <w:pPr>
        <w:spacing w:line="360" w:lineRule="auto"/>
        <w:jc w:val="both"/>
      </w:pPr>
      <w:r w:rsidRPr="00112F64">
        <w:t>Markets present dense, fuel-rich environments with complex layouts, where rapid access and elevation capability are crucial. The lack of functional aerial ladders and bulky frontline forces slows penetration into stalls and upper levels. Inadequate prevention and inspection resources hamper risk identification and mitigation in crowded market spaces. A broader network would enable more effective coverage of market clusters and quicker containment.</w:t>
      </w:r>
    </w:p>
    <w:p w14:paraId="090919E1" w14:textId="77777777" w:rsidR="00112F64" w:rsidRPr="00112F64" w:rsidRDefault="00112F64">
      <w:pPr>
        <w:numPr>
          <w:ilvl w:val="0"/>
          <w:numId w:val="17"/>
        </w:numPr>
        <w:spacing w:line="360" w:lineRule="auto"/>
        <w:contextualSpacing/>
        <w:jc w:val="both"/>
        <w:rPr>
          <w:b/>
          <w:bCs/>
        </w:rPr>
      </w:pPr>
      <w:r w:rsidRPr="00112F64">
        <w:rPr>
          <w:b/>
          <w:bCs/>
        </w:rPr>
        <w:t>Dumpsite and Grass Fires</w:t>
      </w:r>
    </w:p>
    <w:p w14:paraId="3D328084" w14:textId="77777777" w:rsidR="00112F64" w:rsidRPr="00112F64" w:rsidRDefault="00112F64" w:rsidP="002B358B">
      <w:pPr>
        <w:spacing w:line="360" w:lineRule="auto"/>
        <w:jc w:val="both"/>
      </w:pPr>
      <w:r w:rsidRPr="00112F64">
        <w:t>Outdoor grass and dumpsite fires require fast, mobile responses with strong water delivery. The current limited functional portable pumps (4/28) and low frontline vehicle availability constrain containment and extinguishment, increasing rekindling risk. Enhanced regional coverage would bolster perimeter control and rapid suppression, particularly during hot, dry periods.</w:t>
      </w:r>
    </w:p>
    <w:p w14:paraId="55790F22" w14:textId="77777777" w:rsidR="00112F64" w:rsidRPr="00112F64" w:rsidRDefault="00112F64">
      <w:pPr>
        <w:numPr>
          <w:ilvl w:val="0"/>
          <w:numId w:val="12"/>
        </w:numPr>
        <w:spacing w:line="360" w:lineRule="auto"/>
        <w:contextualSpacing/>
        <w:jc w:val="both"/>
        <w:rPr>
          <w:b/>
          <w:bCs/>
        </w:rPr>
      </w:pPr>
      <w:r w:rsidRPr="00112F64">
        <w:rPr>
          <w:b/>
          <w:bCs/>
        </w:rPr>
        <w:t>Strategic Implications and Recommendations</w:t>
      </w:r>
    </w:p>
    <w:p w14:paraId="20467A9F" w14:textId="77777777" w:rsidR="00112F64" w:rsidRPr="00112F64" w:rsidRDefault="00112F64" w:rsidP="002B358B">
      <w:pPr>
        <w:spacing w:line="360" w:lineRule="auto"/>
        <w:jc w:val="both"/>
      </w:pPr>
      <w:r w:rsidRPr="00112F64">
        <w:t>To translate organizational structure and asset data into tangible improvements in fire outcomes, the following strategic directions are recommended:</w:t>
      </w:r>
    </w:p>
    <w:p w14:paraId="4ADAF57C" w14:textId="77777777" w:rsidR="00112F64" w:rsidRPr="00112F64" w:rsidRDefault="00112F64">
      <w:pPr>
        <w:numPr>
          <w:ilvl w:val="0"/>
          <w:numId w:val="18"/>
        </w:numPr>
        <w:spacing w:line="360" w:lineRule="auto"/>
        <w:contextualSpacing/>
        <w:jc w:val="both"/>
        <w:rPr>
          <w:b/>
          <w:bCs/>
        </w:rPr>
      </w:pPr>
      <w:r w:rsidRPr="00112F64">
        <w:rPr>
          <w:b/>
          <w:bCs/>
        </w:rPr>
        <w:t>Accelerate frontline manpower stabilization</w:t>
      </w:r>
    </w:p>
    <w:p w14:paraId="4D087A13" w14:textId="77777777" w:rsidR="00112F64" w:rsidRPr="00112F64" w:rsidRDefault="00112F64" w:rsidP="002B358B">
      <w:pPr>
        <w:spacing w:line="360" w:lineRule="auto"/>
        <w:jc w:val="both"/>
      </w:pPr>
      <w:r w:rsidRPr="00112F64">
        <w:t>Prioritize recruitment and retention to reduce vacancies in Fire and Rescue to below 10% where feasible. Expedite training and progression pathways to bolster operational readiness and leadership within frontline teams.</w:t>
      </w:r>
    </w:p>
    <w:p w14:paraId="5940178C" w14:textId="77777777" w:rsidR="00112F64" w:rsidRPr="00112F64" w:rsidRDefault="00112F64">
      <w:pPr>
        <w:numPr>
          <w:ilvl w:val="0"/>
          <w:numId w:val="18"/>
        </w:numPr>
        <w:spacing w:line="360" w:lineRule="auto"/>
        <w:contextualSpacing/>
        <w:jc w:val="both"/>
      </w:pPr>
      <w:r w:rsidRPr="00112F64">
        <w:rPr>
          <w:b/>
          <w:bCs/>
        </w:rPr>
        <w:t>Elevate frontline assets toward ideal levels</w:t>
      </w:r>
    </w:p>
    <w:p w14:paraId="0AD43E3D" w14:textId="77777777" w:rsidR="00112F64" w:rsidRPr="00112F64" w:rsidRDefault="00112F64" w:rsidP="002B358B">
      <w:pPr>
        <w:spacing w:line="360" w:lineRule="auto"/>
        <w:jc w:val="both"/>
      </w:pPr>
      <w:r w:rsidRPr="00112F64">
        <w:t>Increase the number of functional fire trucks and aerial ladders to meet or surpass ideal counts, enabling effective interior attacks and high-rise operations. Expand functional specialist fire vehicles to broaden capabilities for hazardous materials and industrial incidents. Ensure at least 2–3 fully equipped Response/Command vehicles to support incident management, large events, and mutual aid.</w:t>
      </w:r>
    </w:p>
    <w:p w14:paraId="0B645E9D" w14:textId="77777777" w:rsidR="00112F64" w:rsidRPr="00112F64" w:rsidRDefault="00112F64">
      <w:pPr>
        <w:numPr>
          <w:ilvl w:val="0"/>
          <w:numId w:val="18"/>
        </w:numPr>
        <w:spacing w:line="360" w:lineRule="auto"/>
        <w:contextualSpacing/>
        <w:jc w:val="both"/>
        <w:rPr>
          <w:b/>
          <w:bCs/>
        </w:rPr>
      </w:pPr>
      <w:r w:rsidRPr="00112F64">
        <w:rPr>
          <w:b/>
          <w:bCs/>
        </w:rPr>
        <w:t>Strengthen water delivery and outdoor fire response</w:t>
      </w:r>
    </w:p>
    <w:p w14:paraId="248E6635" w14:textId="7D83241C" w:rsidR="00112F64" w:rsidRPr="00112F64" w:rsidRDefault="00112F64" w:rsidP="002B358B">
      <w:pPr>
        <w:spacing w:line="360" w:lineRule="auto"/>
        <w:jc w:val="both"/>
      </w:pPr>
      <w:r w:rsidRPr="00112F64">
        <w:t xml:space="preserve">Improve portable pump functionality and water supply capabilities for grass and dumpsite fires, ensuring quick access to adequate water sources. Invest in equipment that enhances rapid water transfer and </w:t>
      </w:r>
      <w:r w:rsidR="00ED0CCF" w:rsidRPr="00112F64">
        <w:t>sustains</w:t>
      </w:r>
      <w:r w:rsidRPr="00112F64">
        <w:t xml:space="preserve"> suppression in outdoor environments.</w:t>
      </w:r>
    </w:p>
    <w:p w14:paraId="05F3C970" w14:textId="77777777" w:rsidR="00112F64" w:rsidRPr="00112F64" w:rsidRDefault="00112F64">
      <w:pPr>
        <w:numPr>
          <w:ilvl w:val="0"/>
          <w:numId w:val="18"/>
        </w:numPr>
        <w:spacing w:line="360" w:lineRule="auto"/>
        <w:contextualSpacing/>
        <w:jc w:val="both"/>
        <w:rPr>
          <w:b/>
          <w:bCs/>
        </w:rPr>
      </w:pPr>
      <w:r w:rsidRPr="00112F64">
        <w:rPr>
          <w:b/>
          <w:bCs/>
        </w:rPr>
        <w:t>Complete and optimize the expansion plan</w:t>
      </w:r>
    </w:p>
    <w:p w14:paraId="74837A6B" w14:textId="77777777" w:rsidR="00112F64" w:rsidRPr="00112F64" w:rsidRDefault="00112F64" w:rsidP="002B358B">
      <w:pPr>
        <w:spacing w:line="360" w:lineRule="auto"/>
        <w:jc w:val="both"/>
      </w:pPr>
      <w:r w:rsidRPr="00112F64">
        <w:lastRenderedPageBreak/>
        <w:t>Implement the six-new-station plan with careful siting to maximize high-risk coverage (markets, industrial zones, dense residential interfaces). Ensure the expansion is matched with staffing, vehicles, and maintenance plans to realize a consistent five-minute response target.</w:t>
      </w:r>
    </w:p>
    <w:p w14:paraId="72FC4591" w14:textId="77777777" w:rsidR="00112F64" w:rsidRPr="00112F64" w:rsidRDefault="00112F64">
      <w:pPr>
        <w:numPr>
          <w:ilvl w:val="0"/>
          <w:numId w:val="18"/>
        </w:numPr>
        <w:spacing w:line="360" w:lineRule="auto"/>
        <w:contextualSpacing/>
        <w:jc w:val="both"/>
        <w:rPr>
          <w:b/>
          <w:bCs/>
        </w:rPr>
      </w:pPr>
      <w:r w:rsidRPr="00112F64">
        <w:rPr>
          <w:b/>
          <w:bCs/>
        </w:rPr>
        <w:t>Intensify prevention, inspection, and community engagement</w:t>
      </w:r>
    </w:p>
    <w:p w14:paraId="5305BEB1" w14:textId="77777777" w:rsidR="00112F64" w:rsidRPr="00112F64" w:rsidRDefault="00112F64" w:rsidP="002B358B">
      <w:pPr>
        <w:spacing w:line="360" w:lineRule="auto"/>
        <w:jc w:val="both"/>
      </w:pPr>
      <w:r w:rsidRPr="00112F64">
        <w:t>Expand fire prevention service capacity with functional prevention vehicles to strengthen inspections, risk assessments, and community education, particularly in commercial and industrial corridors. Use data-driven risk mapping to prioritize inspections in high-risk zones and allocate resources efficiently.</w:t>
      </w:r>
    </w:p>
    <w:p w14:paraId="1E715F40" w14:textId="77777777" w:rsidR="00112F64" w:rsidRPr="00112F64" w:rsidRDefault="00112F64" w:rsidP="002B358B">
      <w:pPr>
        <w:spacing w:line="360" w:lineRule="auto"/>
        <w:jc w:val="both"/>
      </w:pPr>
      <w:r w:rsidRPr="00112F64">
        <w:t>The current fire protection framework provides a solid foundation for coordinated responses but is constrained by manpower vacancies and gaps in frontline and prevention assets. The planned expansion to additional stations, coupled with targeted improvements in staffing, equipment, and prevention capacity, holds the promise of significantly better outcomes across commercial, industrial, domestic, home-industries, market, dumpsite, and grass fires. By prioritizing the filling of frontline vacancies, upgrading essential apparatus, and fully implementing the expansion plan, the city can move toward the goal of a five-minute response time and stronger protection of lives and property.</w:t>
      </w:r>
    </w:p>
    <w:p w14:paraId="7E5FD0A5" w14:textId="77777777" w:rsidR="00112F64" w:rsidRPr="00112F64" w:rsidRDefault="00112F64" w:rsidP="002B358B">
      <w:pPr>
        <w:spacing w:line="360" w:lineRule="auto"/>
        <w:jc w:val="both"/>
      </w:pPr>
    </w:p>
    <w:p w14:paraId="3CD44533" w14:textId="37C10BEC" w:rsidR="00112F64" w:rsidRPr="00112F64" w:rsidRDefault="00112F64" w:rsidP="002B358B">
      <w:pPr>
        <w:pStyle w:val="Heading3"/>
        <w:jc w:val="both"/>
      </w:pPr>
      <w:bookmarkStart w:id="121" w:name="_Toc215652940"/>
      <w:r w:rsidRPr="00112F64">
        <w:t>4.</w:t>
      </w:r>
      <w:r w:rsidR="00B560D5">
        <w:t>6</w:t>
      </w:r>
      <w:r w:rsidRPr="00112F64">
        <w:t>.</w:t>
      </w:r>
      <w:r w:rsidR="00B560D5">
        <w:t>3</w:t>
      </w:r>
      <w:r w:rsidRPr="00112F64">
        <w:t xml:space="preserve"> Policy Recommendations</w:t>
      </w:r>
      <w:bookmarkEnd w:id="121"/>
    </w:p>
    <w:p w14:paraId="366F87B9" w14:textId="77777777" w:rsidR="00112F64" w:rsidRPr="00112F64" w:rsidRDefault="00112F64">
      <w:pPr>
        <w:numPr>
          <w:ilvl w:val="0"/>
          <w:numId w:val="20"/>
        </w:numPr>
        <w:spacing w:line="360" w:lineRule="auto"/>
        <w:contextualSpacing/>
        <w:jc w:val="both"/>
        <w:rPr>
          <w:b/>
          <w:bCs/>
        </w:rPr>
      </w:pPr>
      <w:r w:rsidRPr="00112F64">
        <w:rPr>
          <w:b/>
          <w:bCs/>
        </w:rPr>
        <w:t>Main causes and urban fabric considerations in Harare</w:t>
      </w:r>
    </w:p>
    <w:p w14:paraId="6FB6A802" w14:textId="77777777" w:rsidR="00112F64" w:rsidRPr="00112F64" w:rsidRDefault="00112F64" w:rsidP="002B358B">
      <w:pPr>
        <w:spacing w:line="360" w:lineRule="auto"/>
        <w:jc w:val="both"/>
      </w:pPr>
      <w:r w:rsidRPr="00112F64">
        <w:t>Urban fire hazards in Harare arise from a complex interplay between dense, often informal, urban fabric and the arrays of activities that cluster around markets, residential blocks, and industrial zones. The research provided data that illuminated both the patterns and the uncertainties that shape risk: Glen View Complex and Mbare Siyaso exhibit high variability in hotspot counts (standard deviations of 3.74 and 3.45 with means around 2–2.4), signaling volatile risk pockets even when average hotspot counts appear modest. Mbare Markets, by contrast, show lower variability (SD 1.03) but a persistently exposed exposure in a high-density commercial corridor. Across the dataset on incidents from 2015 to 2024, markets emerge as a recurrent locus of fire activity, while information on compliance reveals troubling gaps: several high-risk zones particularly CBD Quadrants 1 and 2, Willowvale Industrial, and Tynwald Industrial report low compliance rates despite high risk, underscoring a disjunction between hazard and management.</w:t>
      </w:r>
    </w:p>
    <w:p w14:paraId="4D5852D5" w14:textId="77777777" w:rsidR="00112F64" w:rsidRPr="00112F64" w:rsidRDefault="00112F64" w:rsidP="002B358B">
      <w:pPr>
        <w:spacing w:line="360" w:lineRule="auto"/>
        <w:jc w:val="both"/>
      </w:pPr>
    </w:p>
    <w:p w14:paraId="506E83D4" w14:textId="433A5D5C" w:rsidR="00112F64" w:rsidRPr="00112F64" w:rsidRDefault="00112F64" w:rsidP="002B358B">
      <w:pPr>
        <w:spacing w:line="360" w:lineRule="auto"/>
        <w:jc w:val="both"/>
      </w:pPr>
      <w:r w:rsidRPr="00112F64">
        <w:lastRenderedPageBreak/>
        <w:t xml:space="preserve">The causes of urban fire hazards in Harare are thus multifaceted and </w:t>
      </w:r>
      <w:r w:rsidR="00ED0CCF" w:rsidRPr="00112F64">
        <w:t>context specific</w:t>
      </w:r>
      <w:r w:rsidRPr="00112F64">
        <w:t xml:space="preserve">. The city’s unique fabric dense, sometimes informal settlements with close housing proximity, informal waste accumulation, and the proximity of residential areas to commercial, industrial, and home-based production creates rapid ignition and spread pathways. Waste and rubbish fires, domestic and commercial activities, and home industries contribute substantially to ignition sources, while limited and aging firefighting assets and uneven enforcement hamper timely containment. Markets and commercial corridors intensify risk due to high occupant density, intense ignition sources, and complex layouts that can impede swift egress and hose lines. The data also </w:t>
      </w:r>
      <w:r w:rsidR="00ED0CCF" w:rsidRPr="00112F64">
        <w:t>indicates</w:t>
      </w:r>
      <w:r w:rsidRPr="00112F64">
        <w:t xml:space="preserve"> that while the total counts of incidents are high in markets across years, the hotspots themselves remain episodic highlighting the need for surge capacity planning and dynamic resource allocation that can respond to volatile risk.</w:t>
      </w:r>
    </w:p>
    <w:p w14:paraId="3AC43CAC" w14:textId="77777777" w:rsidR="00112F64" w:rsidRPr="00112F64" w:rsidRDefault="00112F64" w:rsidP="002B358B">
      <w:pPr>
        <w:spacing w:line="360" w:lineRule="auto"/>
        <w:jc w:val="both"/>
      </w:pPr>
    </w:p>
    <w:p w14:paraId="15587877" w14:textId="77777777" w:rsidR="00112F64" w:rsidRPr="00112F64" w:rsidRDefault="00112F64">
      <w:pPr>
        <w:numPr>
          <w:ilvl w:val="0"/>
          <w:numId w:val="20"/>
        </w:numPr>
        <w:spacing w:line="360" w:lineRule="auto"/>
        <w:contextualSpacing/>
        <w:jc w:val="both"/>
        <w:rPr>
          <w:b/>
          <w:bCs/>
        </w:rPr>
      </w:pPr>
      <w:r w:rsidRPr="00112F64">
        <w:rPr>
          <w:b/>
          <w:bCs/>
        </w:rPr>
        <w:t>Impacts (tangible and intangible)</w:t>
      </w:r>
    </w:p>
    <w:p w14:paraId="7E1228DF" w14:textId="77777777" w:rsidR="00112F64" w:rsidRPr="00112F64" w:rsidRDefault="00112F64" w:rsidP="002B358B">
      <w:pPr>
        <w:spacing w:line="360" w:lineRule="auto"/>
        <w:jc w:val="both"/>
      </w:pPr>
      <w:r w:rsidRPr="00112F64">
        <w:t>The impacts of urban fire hazards in Harare are not confined to immediate loss of life and property. Tangible effects include destruction of homes, small businesses, and markets, with cascading consequences for livelihoods—particularly for informal traders, home industries, and low-income households whose means of earning and shelter are precarious. Health outcomes range from burns and smoke inhalation to chronic respiratory issues arising from repeated exposure to urban fires and polluted air during combustion of waste or building materials (Manisalidis et al 2020). Intangible harms are equally consequential, erosion of social cohesion as displacement fragments communities, distrust in municipal services grows, and recovery can be prolonged when households face recurring losses Mucherera &amp; Spiegel, 2022). Environmental footprints extend beyond the burned structures to broader ecological consequences, including debris and toxic pollutants released into air and water systems, with potential long-term impacts on urban health and biodiversity. The urban fabric’s disruption also reverberates through infrastructure and services: damaged roads and hydrants, interrupted water and electricity supply, and compromised communications hamper both prevention and response.</w:t>
      </w:r>
    </w:p>
    <w:p w14:paraId="19B6E355" w14:textId="77777777" w:rsidR="00112F64" w:rsidRPr="00112F64" w:rsidRDefault="00112F64" w:rsidP="002B358B">
      <w:pPr>
        <w:spacing w:line="360" w:lineRule="auto"/>
        <w:jc w:val="both"/>
      </w:pPr>
    </w:p>
    <w:p w14:paraId="183BF226" w14:textId="77777777" w:rsidR="00112F64" w:rsidRPr="00112F64" w:rsidRDefault="00112F64">
      <w:pPr>
        <w:numPr>
          <w:ilvl w:val="0"/>
          <w:numId w:val="20"/>
        </w:numPr>
        <w:spacing w:line="360" w:lineRule="auto"/>
        <w:contextualSpacing/>
        <w:jc w:val="both"/>
        <w:rPr>
          <w:b/>
          <w:bCs/>
        </w:rPr>
      </w:pPr>
      <w:r w:rsidRPr="00112F64">
        <w:rPr>
          <w:rFonts w:eastAsia="Calibri"/>
          <w:b/>
          <w:bCs/>
        </w:rPr>
        <w:t>Current response and capacity gaps</w:t>
      </w:r>
    </w:p>
    <w:p w14:paraId="4EC54D1B" w14:textId="77777777" w:rsidR="00112F64" w:rsidRPr="00112F64" w:rsidRDefault="00112F64" w:rsidP="002B358B">
      <w:pPr>
        <w:spacing w:line="360" w:lineRule="auto"/>
        <w:jc w:val="both"/>
      </w:pPr>
      <w:r w:rsidRPr="00112F64">
        <w:t xml:space="preserve">Despite these risks, current Fire and Rescue capacity exhibits notable gaps. Asset inventories reveal misalignments between functional assets and ideal levels—breathing apparatus, portable </w:t>
      </w:r>
      <w:r w:rsidRPr="00112F64">
        <w:lastRenderedPageBreak/>
        <w:t>pumps, aerial ladders, and specialist vehicles are below target, while manpower vacancies persist. Risk assessments show uneven compliance, with high-risk CBD and industrial zones frequently reporting low compliance rates (for example, CBD Quadrants 1 and 2, Willowvale Industrial, and Tynwald Industrial). The fragmentation of data—between hotspot counts, incident totals, asset inventories, and compliance metrics—creates barriers to coherent decision-making and resource allocation. In this context, a coherent policy architecture must integrate enforcement, infrastructure, urban planning, community resilience, and data sharing to reduce risk and accelerate recovery.</w:t>
      </w:r>
    </w:p>
    <w:p w14:paraId="022BF295" w14:textId="77777777" w:rsidR="00112F64" w:rsidRPr="00112F64" w:rsidRDefault="00112F64" w:rsidP="002B358B">
      <w:pPr>
        <w:spacing w:line="360" w:lineRule="auto"/>
        <w:jc w:val="both"/>
      </w:pPr>
    </w:p>
    <w:p w14:paraId="6B05F593" w14:textId="77777777" w:rsidR="00112F64" w:rsidRPr="00112F64" w:rsidRDefault="00112F64">
      <w:pPr>
        <w:numPr>
          <w:ilvl w:val="0"/>
          <w:numId w:val="20"/>
        </w:numPr>
        <w:spacing w:line="259" w:lineRule="auto"/>
        <w:contextualSpacing/>
        <w:jc w:val="both"/>
        <w:rPr>
          <w:rFonts w:eastAsia="Calibri"/>
          <w:b/>
          <w:bCs/>
          <w:sz w:val="22"/>
          <w:szCs w:val="22"/>
        </w:rPr>
      </w:pPr>
      <w:r w:rsidRPr="00112F64">
        <w:rPr>
          <w:rFonts w:eastAsia="Calibri"/>
          <w:b/>
          <w:bCs/>
          <w:sz w:val="22"/>
          <w:szCs w:val="22"/>
        </w:rPr>
        <w:t>Enforcement, rapid risk reduction, and data integration</w:t>
      </w:r>
    </w:p>
    <w:p w14:paraId="5EAAF221" w14:textId="77777777" w:rsidR="00112F64" w:rsidRPr="00112F64" w:rsidRDefault="00112F64" w:rsidP="002B358B">
      <w:pPr>
        <w:spacing w:line="360" w:lineRule="auto"/>
        <w:jc w:val="both"/>
      </w:pPr>
      <w:r w:rsidRPr="00112F64">
        <w:t>Translating these insights into actionable policy requires a staged approach aligned with the city’s governance, budgetary realities, and community needs. In the short term, the emphasis must be on enforcement, rapid risk reduction, and data integration. Targeted inspections should be intensified in high-risk and low-compliance zones—particularly CBD Quadrants 1 and 2, Willowvale Industrial, Mbare Markets, and other identified clusters—coupled with a policy that ties licensing and permits to demonstrable fire safety compliance. Immediate risk reduction should ensure unobstructed access for fire appliances and hydrants, with rapid refurbishment or replacement of essential assets such as breathing apparatus and portable pumps to enhance responder readiness. A centralized Fire Risk Information Platform (FRIP) is essential for consolidating hotspot data, incident counts, compliance results, and asset inventories, enabling geospatial analyses to guide deployment and inspections. Community engagement should accompany these measures, with pilot fire warden programs and household safety campaigns that empower residents to reduce ignition sources and improve reporting.</w:t>
      </w:r>
    </w:p>
    <w:p w14:paraId="5F17B1C8" w14:textId="77777777" w:rsidR="00112F64" w:rsidRPr="00112F64" w:rsidRDefault="00112F64" w:rsidP="002B358B">
      <w:pPr>
        <w:spacing w:line="360" w:lineRule="auto"/>
        <w:jc w:val="both"/>
        <w:rPr>
          <w:rFonts w:eastAsia="Calibri"/>
          <w:b/>
          <w:bCs/>
          <w:sz w:val="22"/>
          <w:szCs w:val="22"/>
        </w:rPr>
      </w:pPr>
    </w:p>
    <w:p w14:paraId="2B0C1EAC" w14:textId="77777777" w:rsidR="00112F64" w:rsidRPr="00112F64" w:rsidRDefault="00112F64">
      <w:pPr>
        <w:numPr>
          <w:ilvl w:val="0"/>
          <w:numId w:val="20"/>
        </w:numPr>
        <w:spacing w:line="360" w:lineRule="auto"/>
        <w:contextualSpacing/>
        <w:jc w:val="both"/>
        <w:rPr>
          <w:b/>
          <w:bCs/>
        </w:rPr>
      </w:pPr>
      <w:r w:rsidRPr="00112F64">
        <w:rPr>
          <w:rFonts w:eastAsia="Calibri"/>
          <w:b/>
          <w:bCs/>
          <w:sz w:val="22"/>
          <w:szCs w:val="22"/>
        </w:rPr>
        <w:t>Immediate risk reduction</w:t>
      </w:r>
    </w:p>
    <w:p w14:paraId="0B017E3C" w14:textId="77777777" w:rsidR="00112F64" w:rsidRPr="00112F64" w:rsidRDefault="00112F64" w:rsidP="002B358B">
      <w:pPr>
        <w:spacing w:line="360" w:lineRule="auto"/>
        <w:jc w:val="both"/>
      </w:pPr>
      <w:r w:rsidRPr="00112F64">
        <w:t xml:space="preserve">In the medium term (1–3 years), governance and planning must mature to create a coherent, accountable system that integrates fire risk into urban planning. Formal inter-agency governance with clearly delineated roles within the city, fire brigade, municipal police, and urban planning department. Publicly reported annual compliance targets should anchor accountability, while expanded training and recruitment can address staffing gaps. Infrastructure upgrades should align with risk profiles, prioritizing high-need areas for equipment upgrades, improved water access, hydrant maintenance, and the potential deployment of additional fire stations or mobile units to </w:t>
      </w:r>
      <w:r w:rsidRPr="00112F64">
        <w:lastRenderedPageBreak/>
        <w:t>reduce response times. Urban planning must reflect fire risk considerations, with market design standards that include fire lanes, safe egress, and waste management protocols, and with zoning that minimizes exposure of high-risk informal settlements to critical infrastructure.</w:t>
      </w:r>
    </w:p>
    <w:p w14:paraId="53547DCA" w14:textId="77777777" w:rsidR="00112F64" w:rsidRPr="00112F64" w:rsidRDefault="00112F64" w:rsidP="002B358B">
      <w:pPr>
        <w:spacing w:line="360" w:lineRule="auto"/>
        <w:jc w:val="both"/>
      </w:pPr>
    </w:p>
    <w:p w14:paraId="6B6A9ED9" w14:textId="77777777" w:rsidR="00112F64" w:rsidRPr="00112F64" w:rsidRDefault="00112F64">
      <w:pPr>
        <w:numPr>
          <w:ilvl w:val="0"/>
          <w:numId w:val="20"/>
        </w:numPr>
        <w:spacing w:line="259" w:lineRule="auto"/>
        <w:contextualSpacing/>
        <w:jc w:val="both"/>
        <w:rPr>
          <w:rFonts w:eastAsia="Calibri"/>
          <w:b/>
          <w:bCs/>
        </w:rPr>
      </w:pPr>
      <w:r w:rsidRPr="00112F64">
        <w:rPr>
          <w:rFonts w:eastAsia="Calibri"/>
          <w:b/>
          <w:bCs/>
        </w:rPr>
        <w:t>Community engagement</w:t>
      </w:r>
    </w:p>
    <w:p w14:paraId="745CDD52" w14:textId="77777777" w:rsidR="00112F64" w:rsidRPr="00112F64" w:rsidRDefault="00112F64" w:rsidP="002B358B">
      <w:pPr>
        <w:spacing w:line="360" w:lineRule="auto"/>
        <w:jc w:val="both"/>
      </w:pPr>
      <w:r w:rsidRPr="00112F64">
        <w:t>Community resilience should shift from ad hoc mobilization to sustained capacity-building. Scaled-up programs for community-based fire committees, livelihood-protective measures for home industries, and insurance options or resilience funds for informal workers can reduce exposure and accelerate recovery. Data interoperability between agencies—enabling health, environmental services, planning, and fire services to access harmonized information—will promote timely, coordinated responses. Data governance must protect privacy while ensuring rapid sharing of hazard information and incident data, with standardized reporting formats and quarterly reviews to adjust strategies.</w:t>
      </w:r>
    </w:p>
    <w:p w14:paraId="29A3819C" w14:textId="77777777" w:rsidR="00112F64" w:rsidRPr="00112F64" w:rsidRDefault="00112F64" w:rsidP="002B358B">
      <w:pPr>
        <w:jc w:val="both"/>
      </w:pPr>
    </w:p>
    <w:p w14:paraId="00B00A07" w14:textId="77777777" w:rsidR="00112F64" w:rsidRPr="00112F64" w:rsidRDefault="00112F64">
      <w:pPr>
        <w:numPr>
          <w:ilvl w:val="0"/>
          <w:numId w:val="20"/>
        </w:numPr>
        <w:contextualSpacing/>
        <w:jc w:val="both"/>
      </w:pPr>
      <w:r w:rsidRPr="00112F64">
        <w:rPr>
          <w:b/>
          <w:bCs/>
        </w:rPr>
        <w:t>Resilience, climate-adaptive planning, and sustained capacity</w:t>
      </w:r>
    </w:p>
    <w:p w14:paraId="7C7D6589" w14:textId="77777777" w:rsidR="00112F64" w:rsidRPr="00112F64" w:rsidRDefault="00112F64" w:rsidP="002B358B">
      <w:pPr>
        <w:spacing w:line="360" w:lineRule="auto"/>
        <w:jc w:val="both"/>
      </w:pPr>
      <w:r w:rsidRPr="00112F64">
        <w:t>Longer-term planning (3+ years) should be climate-responsive and ecologically mindful. A climate-adaptive fire resilience framework should anticipate rising heat days and wind-driven risk, deploying cooling centers and heat-moderating urban design. Vegetation management around settlements and along transport corridors—where appropriate and safe—can reduce fuel loads without compromising livelihoods or ecological integrity. The city can pursue green-blue infrastructure—permeable pavements, rainwater harvesting, and open spaces that help absorb heat, manage water, and provide safety buffers against fire spread. Waste management must be overhauled, with centralized disposal facilities and regular collection designed to reduce unattended rubbish fires. Institutional maturity will require stable, multi-year funding for maintenance, training, and data systems, along with annual independent audits to ensure accountability and progress. Equity should be at the center of all long-term efforts—ensuring that low-income and informal sector residents receive access to safety resources, insurance options, and recovery support.</w:t>
      </w:r>
    </w:p>
    <w:p w14:paraId="71AD4569" w14:textId="77777777" w:rsidR="00112F64" w:rsidRPr="00112F64" w:rsidRDefault="00112F64" w:rsidP="002B358B">
      <w:pPr>
        <w:spacing w:line="360" w:lineRule="auto"/>
        <w:jc w:val="both"/>
        <w:rPr>
          <w:b/>
          <w:bCs/>
        </w:rPr>
      </w:pPr>
    </w:p>
    <w:p w14:paraId="1F4CB047" w14:textId="77777777" w:rsidR="00112F64" w:rsidRPr="00112F64" w:rsidRDefault="00112F64">
      <w:pPr>
        <w:numPr>
          <w:ilvl w:val="0"/>
          <w:numId w:val="20"/>
        </w:numPr>
        <w:spacing w:line="360" w:lineRule="auto"/>
        <w:contextualSpacing/>
        <w:jc w:val="both"/>
        <w:rPr>
          <w:b/>
          <w:bCs/>
        </w:rPr>
      </w:pPr>
      <w:r w:rsidRPr="00112F64">
        <w:rPr>
          <w:b/>
          <w:bCs/>
        </w:rPr>
        <w:t>Sustainable urban form and ecological footprint</w:t>
      </w:r>
    </w:p>
    <w:p w14:paraId="5C135341" w14:textId="77777777" w:rsidR="00112F64" w:rsidRPr="00112F64" w:rsidRDefault="00112F64" w:rsidP="002B358B">
      <w:pPr>
        <w:spacing w:line="360" w:lineRule="auto"/>
        <w:jc w:val="both"/>
      </w:pPr>
      <w:r w:rsidRPr="00112F64">
        <w:t xml:space="preserve">A concise synthesis of the action agenda can be articulated through a policy-table narrative that aligns with Harare’s institutional realities. Short-term actions prioritize visible enforcement, rapid </w:t>
      </w:r>
      <w:r w:rsidRPr="00112F64">
        <w:lastRenderedPageBreak/>
        <w:t>asset readiness, data integration, and community engagement. Medium-term actions emphasize governance, planning integration, infrastructure upgrades, and enhanced market safety. Long-term actions commit to climate-resilient systems, sustainable urban design, and sustained, equitable capacity-building.</w:t>
      </w:r>
    </w:p>
    <w:p w14:paraId="6C6DDF0B" w14:textId="77777777" w:rsidR="00112F64" w:rsidRPr="00112F64" w:rsidRDefault="00112F64" w:rsidP="002B358B">
      <w:pPr>
        <w:spacing w:line="360" w:lineRule="auto"/>
        <w:jc w:val="both"/>
      </w:pPr>
    </w:p>
    <w:p w14:paraId="4E12A18E" w14:textId="77777777" w:rsidR="00112F64" w:rsidRPr="00112F64" w:rsidRDefault="00112F64" w:rsidP="002B358B">
      <w:pPr>
        <w:spacing w:line="360" w:lineRule="auto"/>
        <w:jc w:val="both"/>
      </w:pPr>
      <w:r w:rsidRPr="00112F64">
        <w:t>From a data-informed perspective, the variability in hotspot counts at Glen View Complex and Mbare Siyaso calls for surge capacity in resource allocation and flexible inspection regimes that can react to seasonal or event-driven spikes. The Market-focused data underscores the imperative of market safety interventions—layout redesigns, designated fire lanes, and stringent waste management. The persistent compliance gaps demand governance reforms and transparent performance metrics to restore trust and compliance. Asset gaps—such as breathing apparatus and aerial ladders—must be prioritized in alignment with risk exposure to ensure readiness across high-density districts and markets.</w:t>
      </w:r>
    </w:p>
    <w:p w14:paraId="3BCCA877" w14:textId="77777777" w:rsidR="00112F64" w:rsidRPr="00112F64" w:rsidRDefault="00112F64" w:rsidP="002B358B">
      <w:pPr>
        <w:spacing w:line="360" w:lineRule="auto"/>
        <w:jc w:val="both"/>
      </w:pPr>
    </w:p>
    <w:p w14:paraId="3567BBF1" w14:textId="2A3B7A78" w:rsidR="00112F64" w:rsidRPr="00112F64" w:rsidRDefault="00112F64" w:rsidP="002B358B">
      <w:pPr>
        <w:spacing w:line="360" w:lineRule="auto"/>
        <w:jc w:val="both"/>
      </w:pPr>
      <w:r w:rsidRPr="00112F64">
        <w:t xml:space="preserve">To </w:t>
      </w:r>
      <w:r w:rsidR="00ED0CCF" w:rsidRPr="00112F64">
        <w:t>implement</w:t>
      </w:r>
      <w:r w:rsidRPr="00112F64">
        <w:t xml:space="preserve"> these policies, data sharing protocols must be established. A centralized FRIP should set role-based access, standardized reporting formats, and defined interoperability standards so that fire services, urban planners, health authorities, and environmental agencies can coordinate effectively. Privacy safeguards and governance structures are essential for responsible data use. Quarterly data reviews will allow iterative adjustment of enforcement intensity, resource deployment, and planning interventions.</w:t>
      </w:r>
    </w:p>
    <w:p w14:paraId="67A1D6CD" w14:textId="77777777" w:rsidR="00112F64" w:rsidRPr="00112F64" w:rsidRDefault="00112F64" w:rsidP="002B358B">
      <w:pPr>
        <w:spacing w:line="360" w:lineRule="auto"/>
        <w:jc w:val="both"/>
      </w:pPr>
    </w:p>
    <w:p w14:paraId="46BA76E6" w14:textId="77777777" w:rsidR="00112F64" w:rsidRPr="00112F64" w:rsidRDefault="00112F64" w:rsidP="002B358B">
      <w:pPr>
        <w:spacing w:line="360" w:lineRule="auto"/>
        <w:jc w:val="both"/>
      </w:pPr>
      <w:r w:rsidRPr="00112F64">
        <w:t xml:space="preserve">Harare’s path to stronger fire prevention, faster and more effective response, and resilient communities’ rests on an integrated policy framework that translates empirical patterns into concrete, accountable actions. Short-term enforcement and data integration lay the foundation for medium-term governance, infrastructure modernization, and urban-planning integration, while long-term climate-adaptive resilience, sustainable urban design, and equity-focused capacity-building will sustain safety gains in the face of urban growth and climate variability. </w:t>
      </w:r>
    </w:p>
    <w:p w14:paraId="7A703C21" w14:textId="77777777" w:rsidR="00112F64" w:rsidRPr="00112F64" w:rsidRDefault="00112F64">
      <w:pPr>
        <w:numPr>
          <w:ilvl w:val="0"/>
          <w:numId w:val="20"/>
        </w:numPr>
        <w:autoSpaceDE w:val="0"/>
        <w:autoSpaceDN w:val="0"/>
        <w:adjustRightInd w:val="0"/>
        <w:spacing w:line="400" w:lineRule="atLeast"/>
        <w:contextualSpacing/>
        <w:jc w:val="both"/>
      </w:pPr>
      <w:r w:rsidRPr="00112F64">
        <w:rPr>
          <w:b/>
          <w:bCs/>
        </w:rPr>
        <w:t>Residential Fire Risk Assessments in Harare</w:t>
      </w:r>
    </w:p>
    <w:p w14:paraId="3EBFB161" w14:textId="77777777" w:rsidR="00112F64" w:rsidRPr="00112F64" w:rsidRDefault="00112F64" w:rsidP="002B358B">
      <w:pPr>
        <w:autoSpaceDE w:val="0"/>
        <w:autoSpaceDN w:val="0"/>
        <w:adjustRightInd w:val="0"/>
        <w:spacing w:line="400" w:lineRule="atLeast"/>
        <w:jc w:val="both"/>
      </w:pPr>
      <w:r w:rsidRPr="00112F64">
        <w:t xml:space="preserve">From a policy perspective, the research findings point to the necessity of regulatory reform. Amendments to existing by-laws or the development of new policies are essential to incorporate residential properties into formal fire risk assessment and safety inspection regimes. Institutional </w:t>
      </w:r>
      <w:r w:rsidRPr="00112F64">
        <w:lastRenderedPageBreak/>
        <w:t>reforms should include establishing a dedicated residential fire safety unit or an equivalent body equipped with clear authority, resources, and standardized assessment tools. Such measures would facilitate consistent hazard identification, resident education, and enforcement of safety standards, including the installation of smoke alarms, accessible fire extinguishers, and safe electrical practices.</w:t>
      </w:r>
    </w:p>
    <w:p w14:paraId="5B04A596" w14:textId="77777777" w:rsidR="00112F64" w:rsidRPr="00112F64" w:rsidRDefault="00112F64" w:rsidP="002B358B">
      <w:pPr>
        <w:autoSpaceDE w:val="0"/>
        <w:autoSpaceDN w:val="0"/>
        <w:adjustRightInd w:val="0"/>
        <w:spacing w:line="400" w:lineRule="atLeast"/>
        <w:jc w:val="both"/>
      </w:pPr>
      <w:r w:rsidRPr="00112F64">
        <w:t>Updating and harmonizing standards and guidance is also crucial. The current by-laws, formulated in the late 20th century, should be revised to align with contemporary fire safety practices applicable to various housing types—including multi-family and informal settlements. Developing a modern, balanced regulatory framework would ensure enforceability while respecting the housing diversity in Harare. Additionally, establishing a comprehensive data and evaluation system is vital for tracking incidents, causes, and outcomes, enabling evidence-based policy adjustments.</w:t>
      </w:r>
    </w:p>
    <w:p w14:paraId="5C51530B" w14:textId="77777777" w:rsidR="00112F64" w:rsidRPr="00112F64" w:rsidRDefault="00112F64" w:rsidP="002B358B">
      <w:pPr>
        <w:autoSpaceDE w:val="0"/>
        <w:autoSpaceDN w:val="0"/>
        <w:adjustRightInd w:val="0"/>
        <w:spacing w:line="400" w:lineRule="atLeast"/>
        <w:jc w:val="both"/>
      </w:pPr>
      <w:r w:rsidRPr="00112F64">
        <w:t>Public engagement and education are equally important. Communities need clear, accessible guidance on home safety measures tailored to their specific contexts, especially resource-constrained households where installing safety devices may be challenging. An effective phased action plan can guide reforms: starting with diagnostic and legal reviews, establishing a dedicated residential safety unit, developing assessment tools, piloting programs, and eventually scaling up city-wide with continuous monitoring and refinement.</w:t>
      </w:r>
    </w:p>
    <w:p w14:paraId="36EBA7E3" w14:textId="77777777" w:rsidR="00112F64" w:rsidRPr="00112F64" w:rsidRDefault="00112F64" w:rsidP="002B358B">
      <w:pPr>
        <w:autoSpaceDE w:val="0"/>
        <w:autoSpaceDN w:val="0"/>
        <w:adjustRightInd w:val="0"/>
        <w:spacing w:line="400" w:lineRule="atLeast"/>
        <w:jc w:val="both"/>
      </w:pPr>
    </w:p>
    <w:p w14:paraId="09946F9B" w14:textId="77777777" w:rsidR="00112F64" w:rsidRPr="00112F64" w:rsidRDefault="00112F64" w:rsidP="002B358B">
      <w:pPr>
        <w:autoSpaceDE w:val="0"/>
        <w:autoSpaceDN w:val="0"/>
        <w:adjustRightInd w:val="0"/>
        <w:spacing w:line="400" w:lineRule="atLeast"/>
        <w:jc w:val="both"/>
      </w:pPr>
      <w:r w:rsidRPr="00112F64">
        <w:t>Addressing data gaps is fundamental to informing policies and measuring success. There is a pressing need for empirical research to quantify the relationship between the absence of residential assessments and fire incidence. Collecting baseline data on residential fires, causes, and outcomes will support resource planning and policy development, ensuring interventions are targeted and effective.</w:t>
      </w:r>
    </w:p>
    <w:p w14:paraId="1E8A535E" w14:textId="77777777" w:rsidR="00112F64" w:rsidRPr="00112F64" w:rsidRDefault="00112F64" w:rsidP="002B358B">
      <w:pPr>
        <w:spacing w:line="360" w:lineRule="auto"/>
        <w:jc w:val="both"/>
      </w:pPr>
    </w:p>
    <w:p w14:paraId="3BAD109F" w14:textId="77777777" w:rsidR="00112F64" w:rsidRPr="00112F64" w:rsidRDefault="00112F64" w:rsidP="002B358B">
      <w:pPr>
        <w:spacing w:line="360" w:lineRule="auto"/>
        <w:jc w:val="both"/>
      </w:pPr>
    </w:p>
    <w:p w14:paraId="79636492" w14:textId="6E4B27A4" w:rsidR="00112F64" w:rsidRPr="00112F64" w:rsidRDefault="00112F64" w:rsidP="002B358B">
      <w:pPr>
        <w:pStyle w:val="Heading3"/>
        <w:jc w:val="both"/>
      </w:pPr>
      <w:bookmarkStart w:id="122" w:name="_Toc215652941"/>
      <w:r w:rsidRPr="00112F64">
        <w:t>4.</w:t>
      </w:r>
      <w:r w:rsidR="00B560D5">
        <w:t>6</w:t>
      </w:r>
      <w:r w:rsidRPr="00112F64">
        <w:t>.</w:t>
      </w:r>
      <w:r w:rsidR="00B560D5">
        <w:t>4</w:t>
      </w:r>
      <w:r w:rsidRPr="00112F64">
        <w:t xml:space="preserve"> Capacity Building</w:t>
      </w:r>
      <w:bookmarkEnd w:id="122"/>
    </w:p>
    <w:p w14:paraId="751639CF" w14:textId="77777777" w:rsidR="00112F64" w:rsidRPr="00112F64" w:rsidRDefault="00112F64" w:rsidP="002B358B">
      <w:pPr>
        <w:spacing w:line="360" w:lineRule="auto"/>
        <w:jc w:val="both"/>
        <w:rPr>
          <w:b/>
          <w:bCs/>
        </w:rPr>
      </w:pPr>
      <w:r w:rsidRPr="00112F64">
        <w:rPr>
          <w:b/>
          <w:bCs/>
        </w:rPr>
        <w:t>Capacity Building in Fire Safety and Preparedness</w:t>
      </w:r>
    </w:p>
    <w:p w14:paraId="70B4B54E" w14:textId="77777777" w:rsidR="00112F64" w:rsidRPr="00112F64" w:rsidRDefault="00112F64" w:rsidP="002B358B">
      <w:pPr>
        <w:spacing w:line="360" w:lineRule="auto"/>
        <w:jc w:val="both"/>
      </w:pPr>
      <w:r w:rsidRPr="00112F64">
        <w:t xml:space="preserve">Fire safety and preparedness require coordinated action among the fire services, town planning departments, and the community, focusing on training, planning integration, community empowerment, and building durable resilience. The foundation emphasizes technical excellence for responders and mastery of fire safety design, inspection, and enforcement, with planners </w:t>
      </w:r>
      <w:r w:rsidRPr="00112F64">
        <w:lastRenderedPageBreak/>
        <w:t>internalizing fire-safe principles to ensure safe development. Public trust is essential and is earned through transparent processes, predictable training, clear risk communication, interoperable cooperation, and visible, enforceable standards. Town planning must proactively shape environments with fire-safe urban design, hazard mapping, and risk-informed development approvals, while planners collaborate with fire services to co-create standards and streamline decisions. Community empowerment centers on fire safety literacy, personal and neighborhood preparedness, social resilience, and inclusive outreach, including training local champions and conducting drills across diverse settings. A shared sustainability pathway links learning, measurement, and funding to continuous improvement, with equity, data-driven updates, and multi-agency governance ensuring a cohesive, durable system that reduces risk and protects life and property.</w:t>
      </w:r>
    </w:p>
    <w:p w14:paraId="329AE22A" w14:textId="77777777" w:rsidR="00D447D6" w:rsidRPr="00D447D6" w:rsidRDefault="00D447D6" w:rsidP="002B358B">
      <w:pPr>
        <w:spacing w:line="360" w:lineRule="auto"/>
        <w:jc w:val="both"/>
        <w:rPr>
          <w:b/>
          <w:bCs/>
        </w:rPr>
      </w:pPr>
    </w:p>
    <w:p w14:paraId="20C1C35D" w14:textId="6CFB7E22" w:rsidR="00112F64" w:rsidRPr="00112F64" w:rsidRDefault="00112F64" w:rsidP="00394501">
      <w:pPr>
        <w:pStyle w:val="Heading2"/>
      </w:pPr>
      <w:bookmarkStart w:id="123" w:name="_Toc215652943"/>
      <w:r w:rsidRPr="00112F64">
        <w:t>4.</w:t>
      </w:r>
      <w:r w:rsidR="00B560D5">
        <w:t>7</w:t>
      </w:r>
      <w:r w:rsidRPr="00112F64">
        <w:t xml:space="preserve"> Conclusion</w:t>
      </w:r>
      <w:bookmarkEnd w:id="123"/>
    </w:p>
    <w:p w14:paraId="6F1FC291" w14:textId="77777777" w:rsidR="00F5562E" w:rsidRPr="00112F64" w:rsidRDefault="00F5562E" w:rsidP="00F5562E">
      <w:pPr>
        <w:spacing w:line="360" w:lineRule="auto"/>
        <w:jc w:val="both"/>
      </w:pPr>
      <w:r w:rsidRPr="00112F64">
        <w:t>The analysis of a decade’s worth of Harare Fire Brigade data reveals a clear hierarchy in urban fire incidents, with grass fires at the apex. Across the ten-year period, grass fires account for 1,879 calls, making them the most frequent fire category by a wide margin. The data show notable surges in 2023 and 2024 (224 and 241 calls respectively), underscoring a persistent seasonality and environmental driver of these incidents. The drivers of grass fires appear to be a combination of environmental stressors—dry conditions and heat—and management gaps at the urban–wildland interface, including inadequate vegetation maintenance. Human ignition sources, such as land clearance for urban agriculture, are also implicated. Taken together, these findings point to outdoor-space management and climate-influenced risk as central to the urban-fire hazard landscape. Consequently, prevention efforts focused on outdoor spaces emerge as a high-leverage intervention target for reducing overall urban fire risk.</w:t>
      </w:r>
    </w:p>
    <w:p w14:paraId="30781FD3" w14:textId="77777777" w:rsidR="00F5562E" w:rsidRPr="00112F64" w:rsidRDefault="00F5562E" w:rsidP="00F5562E">
      <w:pPr>
        <w:spacing w:line="360" w:lineRule="auto"/>
        <w:jc w:val="both"/>
      </w:pPr>
    </w:p>
    <w:p w14:paraId="0B69B1E7" w14:textId="77777777" w:rsidR="00F5562E" w:rsidRPr="00112F64" w:rsidRDefault="00F5562E" w:rsidP="00F5562E">
      <w:pPr>
        <w:spacing w:line="360" w:lineRule="auto"/>
        <w:jc w:val="both"/>
      </w:pPr>
      <w:r w:rsidRPr="00112F64">
        <w:t xml:space="preserve">Following grass fires, domestic and commercial fires constitute the next largest categories and together dominate the urban-fire burden. Domestic fires total 1,283, while commercial fires amount to 1,490 over the decade. The predominance of these categories reflects the everyday risk environment faced by residents and businesses. Domestic fires arise from cooking activities, electrical faults, heating equipment, and unattended or improperly used appliances; these causes translate into substantial human risk given how households are occupied and how long people are </w:t>
      </w:r>
      <w:r w:rsidRPr="00112F64">
        <w:lastRenderedPageBreak/>
        <w:t>present at home. Commercial fires, though geographically diverse in origin, commonly stem from electrical faults, heating or processing equipment, and the storage of flammable materials within enterprises. The sustained presence of domestic and commercial fires across most years signals a persistent need for targeted safety interventions at both household and business levels. Such interventions should emphasize compliance with fire bylaws, maintenance of electrical infrastructure, and public education on safe practices to reduce ignition and spread.</w:t>
      </w:r>
    </w:p>
    <w:p w14:paraId="70DAB2FF" w14:textId="77777777" w:rsidR="00F5562E" w:rsidRPr="00112F64" w:rsidRDefault="00F5562E" w:rsidP="00F5562E">
      <w:pPr>
        <w:spacing w:line="360" w:lineRule="auto"/>
        <w:jc w:val="both"/>
      </w:pPr>
    </w:p>
    <w:p w14:paraId="1111D6CD" w14:textId="77777777" w:rsidR="00F5562E" w:rsidRPr="00112F64" w:rsidRDefault="00F5562E" w:rsidP="00F5562E">
      <w:pPr>
        <w:spacing w:line="360" w:lineRule="auto"/>
        <w:jc w:val="both"/>
      </w:pPr>
      <w:r w:rsidRPr="00112F64">
        <w:t>Rubbish fires, totaling 751, represent a non-trivial yet more variable contribution to the urban fire burden. The data reveals a curious dip to zero incidents in 2021, which could reflect reporting gaps or a real interruption due to interventions during that year. Regardless, rubbish fires remain an important channel for urban hazards because they can contribute to air pollution and, depending on the materials burned, escalate to structural fires. Their steady, moderate presence underscores the importance of waste-management practices that minimize fire ignition risk and public awareness about safe waste disposal and burning practices.</w:t>
      </w:r>
    </w:p>
    <w:p w14:paraId="746A3B2E" w14:textId="77777777" w:rsidR="00F5562E" w:rsidRPr="00112F64" w:rsidRDefault="00F5562E" w:rsidP="00F5562E">
      <w:pPr>
        <w:spacing w:line="360" w:lineRule="auto"/>
        <w:jc w:val="both"/>
      </w:pPr>
    </w:p>
    <w:p w14:paraId="2A6D4335" w14:textId="77777777" w:rsidR="00F5562E" w:rsidRPr="00112F64" w:rsidRDefault="00F5562E" w:rsidP="00F5562E">
      <w:pPr>
        <w:spacing w:line="360" w:lineRule="auto"/>
        <w:jc w:val="both"/>
      </w:pPr>
      <w:r w:rsidRPr="00112F64">
        <w:t>Industrial and home-industries fires, while smaller in total numbers (143 and 105 respectively), highlight occupational and facility-level risk. These categories remind us that fire safety cannot be limited to the residential sphere; workplaces and production environments require robust fire protection, including electrical safety and equipment maintenance, proper storage of flammable materials, and clear emergency procedures. Market fires, though marginal in absolute terms (24 total), nonetheless illustrate that commercial-facing venues can serve as ignition sources and exposure points in densely populated areas, warranting attention to fire safety within such spaces.</w:t>
      </w:r>
    </w:p>
    <w:p w14:paraId="3CB80685" w14:textId="77777777" w:rsidR="00F5562E" w:rsidRPr="00112F64" w:rsidRDefault="00F5562E" w:rsidP="00F5562E">
      <w:pPr>
        <w:spacing w:line="360" w:lineRule="auto"/>
        <w:jc w:val="both"/>
      </w:pPr>
    </w:p>
    <w:p w14:paraId="7ADEF3FB" w14:textId="77777777" w:rsidR="00F5562E" w:rsidRPr="00112F64" w:rsidRDefault="00F5562E" w:rsidP="00F5562E">
      <w:pPr>
        <w:spacing w:line="360" w:lineRule="auto"/>
        <w:jc w:val="both"/>
      </w:pPr>
      <w:r w:rsidRPr="00112F64">
        <w:t>Linking these findings to the study objectives clarifies how the data illuminate urban fire hazards, impacts, and prevention opportunities. The objective to identify the main causes of fire hazards in urban areas is addressed directly by the categorization of fire incidents and the associated causal narratives. Grass fires are tied to environmental conditions and vegetation management gaps; domestic fires to cooking, electrical faults, and appliance use; commercial fires to electrical faults, equipment, and flammable storage; rubbish fires to waste-management practices; and industrial/home-industries fires to workplace safety and material handling. These links provide a cause–context map of urban fire hazards that is essential for prioritizing interventions.</w:t>
      </w:r>
    </w:p>
    <w:p w14:paraId="5642D1F4" w14:textId="77777777" w:rsidR="00F5562E" w:rsidRPr="00112F64" w:rsidRDefault="00F5562E" w:rsidP="00F5562E">
      <w:pPr>
        <w:spacing w:line="360" w:lineRule="auto"/>
        <w:jc w:val="both"/>
      </w:pPr>
    </w:p>
    <w:p w14:paraId="5C7D5B86" w14:textId="77777777" w:rsidR="00F5562E" w:rsidRPr="00112F64" w:rsidRDefault="00F5562E" w:rsidP="00F5562E">
      <w:pPr>
        <w:spacing w:line="360" w:lineRule="auto"/>
        <w:jc w:val="both"/>
      </w:pPr>
      <w:r w:rsidRPr="00112F64">
        <w:t>The objective to evaluate the impacts of urban fire incidents on residents, property, and the environment is addressed through the qualitative implications attached to each category. Domestic fires foreground human risk given occupancy and time spent at home; commercial fires flag potential property losses and business disruption; rubbish fires raise environmental concerns such as air pollution and potential secondary fires; and industrial/home-industries fires emphasize occupational safety and the risk to production assets. The emphasis on the most prevalent categories—grass, domestic, and commercial fires—implies that the greatest potential impacts reside in everyday living spaces, work environments, and public outdoor areas.</w:t>
      </w:r>
    </w:p>
    <w:p w14:paraId="502D145F" w14:textId="77777777" w:rsidR="00F5562E" w:rsidRPr="00112F64" w:rsidRDefault="00F5562E" w:rsidP="00F5562E">
      <w:pPr>
        <w:spacing w:line="360" w:lineRule="auto"/>
        <w:jc w:val="both"/>
      </w:pPr>
    </w:p>
    <w:p w14:paraId="54F8DF61" w14:textId="13CC02A7" w:rsidR="00F5562E" w:rsidRPr="00112F64" w:rsidRDefault="00F5562E" w:rsidP="00F5562E">
      <w:pPr>
        <w:spacing w:line="360" w:lineRule="auto"/>
        <w:jc w:val="both"/>
      </w:pPr>
      <w:r w:rsidRPr="00112F64">
        <w:t>The objective to analyze how existing fire prevention and response mechanisms can be enhanced is grounded in the patterns observed. For grass fires, the analysis points to vegetation management, outdoor-space fire prevention, and community awareness as critical levers. For domestic and commercial fires, ongoing needs include adherence to bylaws, electrical infrastructure maintenance, and public education on safe practices. Rubbish fires suggest the necessity of improved waste-management systems and disposal practices to curb ignition risks. Industrial and home-industries fires call for robust workplace fire protection, including electrical safety, equipment maintenance, safe storage of flammables, and well-communicated emergency procedures. Market fires, although less frequent, indicate that fire safety in commercial venues within dense urban areas require tailored risk mitigation strategies.</w:t>
      </w:r>
      <w:r>
        <w:t xml:space="preserve"> </w:t>
      </w:r>
      <w:r w:rsidRPr="00112F64">
        <w:t>From a study-design perspective, these findings imply several implications. Data collection should concentrate on outdoor vegetation management practices, ignition sources related to urban agriculture, and seasonal patterns that drive grass fires. Household and business risk factors—electrical safety, appliance usage, and flammable-material storage—should be incorporated into prevention program designs. Waste-management policies and public education campaigns must be integral components of intervention efforts. Finally, to avoid data gaps such as the anomalous 2021 rubbish-fire year, robust incident reporting and monitoring systems are essential to accurately track intervention effects and to measure progress against the top-fire categories.</w:t>
      </w:r>
      <w:r>
        <w:t xml:space="preserve"> </w:t>
      </w:r>
      <w:r w:rsidRPr="00112F64">
        <w:t xml:space="preserve">The Harare data reveals a clear hierarchy of urban fire hazards driven by environmental conditions, human behavior, and infrastructure reliability. This structure directly informs the study’s objectives by identifying the primary causes of urban fire hazards, clarifying the likely social, property, and </w:t>
      </w:r>
      <w:r w:rsidRPr="00112F64">
        <w:lastRenderedPageBreak/>
        <w:t>environmental impacts, and highlighting targeted prevention and response strategies. The resulting implications support a prevention-focused, multi-stakeholder approach that emphasizes outdoor-space vegetation management, household and business safety practices, waste-management improvements, and strengthened reporting to monitor progress and adapt interventions over time.</w:t>
      </w:r>
    </w:p>
    <w:p w14:paraId="6A9E69D2" w14:textId="77777777" w:rsidR="00F5562E" w:rsidRPr="00112F64" w:rsidRDefault="00F5562E" w:rsidP="00F5562E">
      <w:pPr>
        <w:spacing w:line="360" w:lineRule="auto"/>
        <w:jc w:val="both"/>
        <w:rPr>
          <w:b/>
          <w:bCs/>
          <w:sz w:val="40"/>
          <w:szCs w:val="40"/>
        </w:rPr>
      </w:pPr>
    </w:p>
    <w:p w14:paraId="6034FF26" w14:textId="77777777" w:rsidR="00112F64" w:rsidRDefault="00112F64" w:rsidP="006C3EB9">
      <w:pPr>
        <w:pStyle w:val="Heading1"/>
      </w:pPr>
    </w:p>
    <w:p w14:paraId="6BCDFB86" w14:textId="77777777" w:rsidR="00ED0CCF" w:rsidRDefault="00ED0CCF" w:rsidP="00ED0CCF"/>
    <w:p w14:paraId="5A31527D" w14:textId="77777777" w:rsidR="00ED0CCF" w:rsidRDefault="00ED0CCF" w:rsidP="00ED0CCF"/>
    <w:p w14:paraId="34B5AD0A" w14:textId="77777777" w:rsidR="00ED0CCF" w:rsidRDefault="00ED0CCF" w:rsidP="00ED0CCF"/>
    <w:p w14:paraId="52E6618F" w14:textId="77777777" w:rsidR="00ED0CCF" w:rsidRDefault="00ED0CCF" w:rsidP="00ED0CCF"/>
    <w:p w14:paraId="13B01A46" w14:textId="77777777" w:rsidR="00ED0CCF" w:rsidRDefault="00ED0CCF" w:rsidP="00ED0CCF"/>
    <w:p w14:paraId="4EBEE25B" w14:textId="77777777" w:rsidR="00ED0CCF" w:rsidRDefault="00ED0CCF" w:rsidP="00ED0CCF"/>
    <w:p w14:paraId="27222852" w14:textId="77777777" w:rsidR="00ED0CCF" w:rsidRDefault="00ED0CCF" w:rsidP="00ED0CCF"/>
    <w:p w14:paraId="343449E5" w14:textId="77777777" w:rsidR="00ED0CCF" w:rsidRDefault="00ED0CCF" w:rsidP="00ED0CCF"/>
    <w:p w14:paraId="18B9B924" w14:textId="77777777" w:rsidR="00ED0CCF" w:rsidRDefault="00ED0CCF" w:rsidP="00ED0CCF"/>
    <w:p w14:paraId="136D3F49" w14:textId="77777777" w:rsidR="00ED0CCF" w:rsidRDefault="00ED0CCF" w:rsidP="00ED0CCF"/>
    <w:p w14:paraId="50C21BFD" w14:textId="77777777" w:rsidR="00ED0CCF" w:rsidRDefault="00ED0CCF" w:rsidP="00ED0CCF"/>
    <w:p w14:paraId="1A68CD0F" w14:textId="77777777" w:rsidR="00ED0CCF" w:rsidRDefault="00ED0CCF" w:rsidP="00ED0CCF"/>
    <w:p w14:paraId="0B3415EE" w14:textId="77777777" w:rsidR="00ED0CCF" w:rsidRDefault="00ED0CCF" w:rsidP="00ED0CCF"/>
    <w:p w14:paraId="3763EFB8" w14:textId="77777777" w:rsidR="00ED0CCF" w:rsidRDefault="00ED0CCF" w:rsidP="00ED0CCF"/>
    <w:p w14:paraId="4D65B2DF" w14:textId="77777777" w:rsidR="00ED0CCF" w:rsidRDefault="00ED0CCF" w:rsidP="00ED0CCF"/>
    <w:p w14:paraId="3D7B9BD9" w14:textId="77777777" w:rsidR="007C7F70" w:rsidRDefault="007C7F70" w:rsidP="00ED0CCF"/>
    <w:p w14:paraId="3EC1133E" w14:textId="77777777" w:rsidR="00ED0CCF" w:rsidRDefault="00ED0CCF" w:rsidP="00ED0CCF"/>
    <w:p w14:paraId="3B905C92" w14:textId="77777777" w:rsidR="00ED0CCF" w:rsidRDefault="00ED0CCF" w:rsidP="00ED0CCF"/>
    <w:p w14:paraId="62A09B0B" w14:textId="77777777" w:rsidR="004008DF" w:rsidRDefault="004008DF" w:rsidP="00ED0CCF"/>
    <w:p w14:paraId="3EEA8CDF" w14:textId="77777777" w:rsidR="004008DF" w:rsidRDefault="004008DF" w:rsidP="00ED0CCF"/>
    <w:p w14:paraId="2BCD4A0F" w14:textId="77777777" w:rsidR="004008DF" w:rsidRDefault="004008DF" w:rsidP="00ED0CCF"/>
    <w:p w14:paraId="41F0F989" w14:textId="77777777" w:rsidR="004008DF" w:rsidRDefault="004008DF" w:rsidP="00ED0CCF"/>
    <w:p w14:paraId="39B55B4B" w14:textId="77777777" w:rsidR="004008DF" w:rsidRDefault="004008DF" w:rsidP="00ED0CCF"/>
    <w:p w14:paraId="740CBF70" w14:textId="77777777" w:rsidR="004008DF" w:rsidRDefault="004008DF" w:rsidP="00ED0CCF"/>
    <w:p w14:paraId="2BADC43F" w14:textId="77777777" w:rsidR="004008DF" w:rsidRDefault="004008DF" w:rsidP="00ED0CCF"/>
    <w:p w14:paraId="721F3BF0" w14:textId="77777777" w:rsidR="004008DF" w:rsidRDefault="004008DF" w:rsidP="00ED0CCF"/>
    <w:p w14:paraId="0537AADC" w14:textId="77777777" w:rsidR="004008DF" w:rsidRDefault="004008DF" w:rsidP="00ED0CCF"/>
    <w:p w14:paraId="3C758AB6" w14:textId="77777777" w:rsidR="004008DF" w:rsidRDefault="004008DF" w:rsidP="00ED0CCF"/>
    <w:p w14:paraId="22CFA2FB" w14:textId="77777777" w:rsidR="004008DF" w:rsidRPr="00ED0CCF" w:rsidRDefault="004008DF" w:rsidP="00ED0CCF"/>
    <w:p w14:paraId="6C2D3A08" w14:textId="77777777" w:rsidR="00112F64" w:rsidRPr="00112F64" w:rsidRDefault="00112F64" w:rsidP="006C3EB9">
      <w:pPr>
        <w:pStyle w:val="Heading1"/>
      </w:pPr>
      <w:bookmarkStart w:id="124" w:name="_Toc215652944"/>
      <w:r w:rsidRPr="00112F64">
        <w:lastRenderedPageBreak/>
        <w:t>Chapter 5</w:t>
      </w:r>
      <w:bookmarkEnd w:id="124"/>
    </w:p>
    <w:p w14:paraId="1E182DF5" w14:textId="31F30859" w:rsidR="00112F64" w:rsidRPr="00112F64" w:rsidRDefault="00D447D6" w:rsidP="006C3EB9">
      <w:pPr>
        <w:pStyle w:val="Heading1"/>
      </w:pPr>
      <w:bookmarkStart w:id="125" w:name="_Toc215652945"/>
      <w:r>
        <w:t xml:space="preserve">Summary of </w:t>
      </w:r>
      <w:r w:rsidR="00112F64" w:rsidRPr="00112F64">
        <w:t xml:space="preserve">Findings, </w:t>
      </w:r>
      <w:bookmarkEnd w:id="125"/>
      <w:r w:rsidR="001D20FA">
        <w:t>Conclusion and recommendations</w:t>
      </w:r>
    </w:p>
    <w:p w14:paraId="20A7DCF5" w14:textId="77777777" w:rsidR="00112F64" w:rsidRPr="00112F64" w:rsidRDefault="00112F64" w:rsidP="00ED0CCF">
      <w:pPr>
        <w:spacing w:line="360" w:lineRule="auto"/>
        <w:jc w:val="center"/>
      </w:pPr>
    </w:p>
    <w:p w14:paraId="62D46B62" w14:textId="77777777" w:rsidR="00112F64" w:rsidRPr="007543E4" w:rsidRDefault="00112F64" w:rsidP="00394501">
      <w:pPr>
        <w:pStyle w:val="Heading2"/>
      </w:pPr>
      <w:bookmarkStart w:id="126" w:name="_Toc215652946"/>
      <w:r w:rsidRPr="007543E4">
        <w:t>5.1 Introduction</w:t>
      </w:r>
      <w:bookmarkEnd w:id="126"/>
    </w:p>
    <w:p w14:paraId="0A287A47" w14:textId="77777777" w:rsidR="00112F64" w:rsidRPr="00112F64" w:rsidRDefault="00112F64" w:rsidP="002B358B">
      <w:pPr>
        <w:spacing w:line="360" w:lineRule="auto"/>
        <w:jc w:val="both"/>
      </w:pPr>
      <w:r w:rsidRPr="00112F64">
        <w:t>This chapter presents the synthesis of results from the study “An Assessment of the Impact of Fire Hazards in Urban Areas: A Case Study of Harare City.” It aligns with the study objectives and research questions, and it discusses findings across the seven categories of fires analyzed: commercial, industrial, domestic, market, home industries, dumpsite, and veld fires. The chapter also discusses limitations, policy implications, and directions for future research.</w:t>
      </w:r>
    </w:p>
    <w:p w14:paraId="4DE7A9F1" w14:textId="77777777" w:rsidR="00112F64" w:rsidRPr="00112F64" w:rsidRDefault="00112F64" w:rsidP="00394501">
      <w:pPr>
        <w:pStyle w:val="Heading2"/>
      </w:pPr>
      <w:bookmarkStart w:id="127" w:name="_Toc215652947"/>
      <w:r w:rsidRPr="00112F64">
        <w:t>5.2 Summary of Key Findings by Objective</w:t>
      </w:r>
      <w:bookmarkEnd w:id="127"/>
    </w:p>
    <w:p w14:paraId="4B6F6C93" w14:textId="4FC6D0A0" w:rsidR="00112F64" w:rsidRPr="00112F64" w:rsidRDefault="00112F64" w:rsidP="002B358B">
      <w:pPr>
        <w:spacing w:line="360" w:lineRule="auto"/>
        <w:jc w:val="both"/>
      </w:pPr>
      <w:r w:rsidRPr="00112F64">
        <w:t xml:space="preserve">The Harare Fire Brigade’s decade-long data </w:t>
      </w:r>
      <w:r w:rsidR="00ED0CCF" w:rsidRPr="00112F64">
        <w:t>illuminates</w:t>
      </w:r>
      <w:r w:rsidRPr="00112F64">
        <w:t xml:space="preserve"> a clear portrait of urban fire risk dominated by vegetation-related fires, domestic and commercial ignition sources, and smaller but persistent contributions from rubbish and industrial-era incidents. Grass fires emerge as the most frequent category, with 1,879 calls over ten years and notable spikes in 2023 and 2024. This pattern underscores the intersection of environmental conditions—dry spells and heat stress—with urban management gaps, particularly in maintaining vegetation at the urban–rural interface. The seasonal and persistent nature of grass fires suggests that prevention is most effectively pursued where outdoor vegetation management intersects with climate-influenced risk. In practical terms, reducing the urban fire burden would benefit from intensified vegetation maintenance, landscape design that minimizes ignition sources, and public awareness about safe land-clearing practices. Taken together, these factors identify a high-leverage target for prevention efforts in outdoor spaces.</w:t>
      </w:r>
    </w:p>
    <w:p w14:paraId="0CA51E12" w14:textId="77777777" w:rsidR="00112F64" w:rsidRPr="00112F64" w:rsidRDefault="00112F64" w:rsidP="002B358B">
      <w:pPr>
        <w:spacing w:line="360" w:lineRule="auto"/>
        <w:jc w:val="both"/>
      </w:pPr>
      <w:r w:rsidRPr="00112F64">
        <w:t xml:space="preserve">Following grass fires, domestic and commercial fires constitute the next largest sources of urban fire risk, totaling 1,283 and 1,490 incidents respectively. The domestic fire load is driven by commonplace household risks—cooking incidents, electrical faults, heating equipment, and unattended or improperly used appliances. These risks are inextricably linked to occupancy patterns and time spent at home, suggesting that safety interventions must be embedded in public education, bylaws compliance, and proactive electrical and appliance maintenance. Commercial fires, while geographically diverse, similarly arise from electrical faults, heating or processing equipment, and the presence and storage of flammable materials. The persistence of these </w:t>
      </w:r>
      <w:r w:rsidRPr="00112F64">
        <w:lastRenderedPageBreak/>
        <w:t>categories across the decade signals an enduring demand for targeted safety measures at both household and business levels. A comprehensive prevention strategy would therefore encompass enforcement of fire bylaws, routine electrical infrastructure maintenance, and education on safe practices for residents and business operators alike.</w:t>
      </w:r>
    </w:p>
    <w:p w14:paraId="357F43C6" w14:textId="77777777" w:rsidR="00112F64" w:rsidRPr="00112F64" w:rsidRDefault="00112F64" w:rsidP="002B358B">
      <w:pPr>
        <w:spacing w:line="360" w:lineRule="auto"/>
        <w:jc w:val="both"/>
      </w:pPr>
      <w:r w:rsidRPr="00112F64">
        <w:t>Rubbish fires contribute a more variable but nonetheless meaningful portion of the urban fire burden, totaling 751 incidents and displaying a curious dip to zero in 2021. This anomaly could reflect reporting gaps or successful interventions, but the broader pattern remains that rubbish fires threaten air quality and may escalate to structural fires depending on the materials burned. Consequently, waste management practices that minimize ignition risks, alongside public awareness campaigns on safe waste disposal and burning practices, are essential components of a holistic prevention framework.</w:t>
      </w:r>
    </w:p>
    <w:p w14:paraId="6E57D559" w14:textId="77777777" w:rsidR="00112F64" w:rsidRPr="00112F64" w:rsidRDefault="00112F64" w:rsidP="002B358B">
      <w:pPr>
        <w:spacing w:line="360" w:lineRule="auto"/>
        <w:jc w:val="both"/>
      </w:pPr>
      <w:r w:rsidRPr="00112F64">
        <w:t>Industrial and home-industries fires, though smaller in total (143 and 105 respectively), remind us that occupational and facility-level risk must be addressed alongside residential and commercial concerns. Market fires, while numerically modest, confirm that ignition sources in commercial-facing venues can impact densely populated areas. Together, these categories emphasize that fire safety cannot be restricted to the home or public streets; workplaces and production environments require robust protection, including electrical safety, equipment maintenance, proper storage of flammable materials, and clear emergency procedures.</w:t>
      </w:r>
    </w:p>
    <w:p w14:paraId="3AA0B00B" w14:textId="77777777" w:rsidR="00112F64" w:rsidRPr="00112F64" w:rsidRDefault="00112F64" w:rsidP="002B358B">
      <w:pPr>
        <w:spacing w:line="360" w:lineRule="auto"/>
        <w:jc w:val="both"/>
      </w:pPr>
      <w:r w:rsidRPr="00112F64">
        <w:t>Beyond the incidence profile, the data reveal that injuries and deaths have trended downward from 2015 through 2024. Injuries fluctuated annually but generally declined, from a high of 45 in 2019 to 10 in 2024. Fatalities remained rare, with several years reporting zero deaths and a peak of seven in 2016. This overall pattern points to progress in safety measures or reporting practices, even as injuries persist and fatalities occur sporadically. The decline in injuries and deaths signals some success in safety protocols and enforcement, yet the persistence of injuries indicates ongoing vulnerability and the need for continuous attention to risk reduction.</w:t>
      </w:r>
    </w:p>
    <w:p w14:paraId="418E6173" w14:textId="77777777" w:rsidR="00112F64" w:rsidRPr="00112F64" w:rsidRDefault="00112F64" w:rsidP="002B358B">
      <w:pPr>
        <w:spacing w:line="360" w:lineRule="auto"/>
        <w:jc w:val="both"/>
      </w:pPr>
      <w:r w:rsidRPr="00112F64">
        <w:t xml:space="preserve">The organizational structure of Harare’s fire protection services currently rests on four primary fire stations: Central Fire Station (the Emergency Services Headquarters), Greendale, Waterfalls, and Kuwadzana. This network aims to deliver mutual aid and rapid responses across the city’s core commercial and industrial zones. The strategic plan to expand with six additional stations—Marlborough, Mount Pleasant, Park-meadowlands, Gaydon, Pomona, and Budiriro—reflects an intent to tighten coverage and approach the international standard of a five-minute average </w:t>
      </w:r>
      <w:r w:rsidRPr="00112F64">
        <w:lastRenderedPageBreak/>
        <w:t>response time. The rationale is straightforward: a larger, more evenly distributed network would shorten response times, increase resilience during large-scale incidents, and improve protection for residents and property.</w:t>
      </w:r>
    </w:p>
    <w:p w14:paraId="0E3D4F3F" w14:textId="38CFAA1C" w:rsidR="00112F64" w:rsidRPr="00112F64" w:rsidRDefault="00112F64" w:rsidP="002B358B">
      <w:pPr>
        <w:spacing w:line="360" w:lineRule="auto"/>
        <w:jc w:val="both"/>
      </w:pPr>
      <w:r w:rsidRPr="00112F64">
        <w:t xml:space="preserve">Nonetheless, resource adequacy remains a pressing concern. Staffing levels show a total establishment of 320 with 226 actively filled positions, leaving 94 vacancies—an overall vacancy rate of roughly 29.4%. The Fire and Rescue segment exhibits 79 vacancies, while Administration presents 15, signaling that the efficiency and reach of emergency responses could be compromised by workforce shortages. Equipment readiness mirrors this concern. An inventory snapshot as of December 31, </w:t>
      </w:r>
      <w:r w:rsidR="00ED0CCF" w:rsidRPr="00112F64">
        <w:t>2024,</w:t>
      </w:r>
      <w:r w:rsidRPr="00112F64">
        <w:t xml:space="preserve"> reveals substantial gaps: only 6 of 22 fire trucks are functional, aerial ladders show zero functional units against a target of six, and breathing apparatus coverage stands at 80 of 116 functional, with a target of 120. Portable pumps are notably underpowered with only 4 of 28 functional. These gaps—widespread across asset </w:t>
      </w:r>
      <w:r w:rsidR="00ED0CCF" w:rsidRPr="00112F64">
        <w:t xml:space="preserve">types, </w:t>
      </w:r>
      <w:r w:rsidRPr="00112F64">
        <w:t>underscore maintenance backlogs, procurement shortfalls, and the need for sustained investment in both staffing and equipment to maintain readiness and rapid response capacities.</w:t>
      </w:r>
    </w:p>
    <w:p w14:paraId="6115EEE3" w14:textId="77777777" w:rsidR="00112F64" w:rsidRPr="00112F64" w:rsidRDefault="00112F64" w:rsidP="002B358B">
      <w:pPr>
        <w:spacing w:line="360" w:lineRule="auto"/>
        <w:jc w:val="both"/>
      </w:pPr>
      <w:r w:rsidRPr="00112F64">
        <w:t>A complementary but sobering element is the fire risk assessment for 2024, which highlights pervasive non-compliance in high-risk urban areas. The CBD quadrants exhibit low compliance with inspection standards and elevated risk profiles, with compliance rates ranging from 15% to 45.9% across quadrants and many locations classified as high risk. Industrial zones such as Willowvale and Glen Eagles also display high-risk designations with relatively low compliance, while markets and home industries show negligible compliance yet carry high-risk status. This pattern of non-compliance in high-risk areas points to vulnerabilities in prevention, enforcement, and risk communication. It also implies that even where hazards are most acute, preventive measures and regulatory oversight are insufficient to deter or mitigate ignition risks.</w:t>
      </w:r>
    </w:p>
    <w:p w14:paraId="217A73DA" w14:textId="77777777" w:rsidR="00112F64" w:rsidRPr="00112F64" w:rsidRDefault="00112F64" w:rsidP="002B358B">
      <w:pPr>
        <w:spacing w:line="360" w:lineRule="auto"/>
        <w:jc w:val="both"/>
      </w:pPr>
      <w:r w:rsidRPr="00112F64">
        <w:t>Connecting these empirical threads to the study’s objectives clarifies the pathway from data to action. The first objective seeks to identify the main causes of urban fire hazards. The Harare data illuminate this clearly: vegetation conditions and climate trade off with urban management in grass fires; households and businesses are exposed to routine risk drivers such as cooking, electrical faults, and heating equipment; waste handling practices contribute to rubbish fires; and occupational environments present distinct but smaller-scale hazards. Recognizing these primary sources of risk anchors the design of targeted interventions that address both environmental and behavioral dimensions of urban fire hazards.</w:t>
      </w:r>
    </w:p>
    <w:p w14:paraId="71BB2F8F" w14:textId="3AD14C89" w:rsidR="00112F64" w:rsidRPr="00112F64" w:rsidRDefault="00112F64" w:rsidP="002B358B">
      <w:pPr>
        <w:spacing w:line="360" w:lineRule="auto"/>
        <w:jc w:val="both"/>
      </w:pPr>
      <w:r w:rsidRPr="00112F64">
        <w:lastRenderedPageBreak/>
        <w:t xml:space="preserve">The second objective </w:t>
      </w:r>
      <w:r w:rsidR="00ED0CCF" w:rsidRPr="00112F64">
        <w:t>is</w:t>
      </w:r>
      <w:r w:rsidRPr="00112F64">
        <w:t xml:space="preserve"> to evaluate the impacts of urban fire incidents on residents, property, and the environment. The injury and fatality trends provide a lens into human impact, indicating progress in safety outcomes but also highlighting persistent vulnerability. The predominance of grass, domestic, and commercial fires signals potential property losses and environmental implications, including air pollution from rubbish burning and the ecological consequences of uncontrolled vegetation fires. The occupational risks captured by industrial and home-industries fires further imply economic and productivity losses, reinforcing the multi-faceted impact of urban fires on livelihoods and well-being.</w:t>
      </w:r>
    </w:p>
    <w:p w14:paraId="351C7816" w14:textId="77777777" w:rsidR="00112F64" w:rsidRPr="00112F64" w:rsidRDefault="00112F64" w:rsidP="002B358B">
      <w:pPr>
        <w:spacing w:line="360" w:lineRule="auto"/>
        <w:jc w:val="both"/>
      </w:pPr>
      <w:r w:rsidRPr="00112F64">
        <w:t>The third objective seeks to analyze how existing fire prevention and response mechanisms can be enhanced. The analysis indicates that current resource adequacy is insufficient to guarantee optimal performance. High vacancy rates and under-functional equipment threaten prompt, effective responses, especially as the city contemplates a more expansive station network to meet a five-minute target. Additionally, the risk assessment reveals substantial non-compliance in high-risk zones, suggesting that prevention and enforcement efforts must be intensified where the need is greatest. Consequently, improvements should be holistic: expanding staffing and upgrading equipment; ensuring regular maintenance and timely procurement; expanding the fire station network to achieve quicker response times; and intensifying vegetation management, electrical safety, waste disposal practices, and targeted inspections in high-risk urban cores and industrial districts. These measures would collectively strengthen the prevention-resilience nexus and bring practice closer to the stated objectives.</w:t>
      </w:r>
    </w:p>
    <w:p w14:paraId="2037B6A4" w14:textId="77777777" w:rsidR="00112F64" w:rsidRPr="00112F64" w:rsidRDefault="00112F64" w:rsidP="002B358B">
      <w:pPr>
        <w:spacing w:line="360" w:lineRule="auto"/>
        <w:jc w:val="both"/>
      </w:pPr>
      <w:r w:rsidRPr="00112F64">
        <w:t>The Harare data depict a coherent risk profile: environment-driven grass fires and human-activity-driven domestic/commercial fires define the urban fire landscape; injuries and deaths show encouraging but incomplete safety gains; and organizational and resource constraints—staffing gaps, equipment shortfalls, and non-compliance in high-risk zones—limit the effectiveness of prevention and response. The proposed expansion of the fire-service network, combined with targeted prevention strategies and intensified enforcement in high-risk areas, represents a comprehensive path to achieving the three study objectives: identifying principal hazards, assessing their impacts, and strengthening prevention and response mechanisms to mitigate fire risks in Harare’s urban environment.</w:t>
      </w:r>
    </w:p>
    <w:p w14:paraId="14667278" w14:textId="53180FF6" w:rsidR="00112F64" w:rsidRPr="00112F64" w:rsidRDefault="00112F64" w:rsidP="00394501">
      <w:pPr>
        <w:pStyle w:val="Heading2"/>
      </w:pPr>
      <w:bookmarkStart w:id="128" w:name="_Toc215652948"/>
      <w:r w:rsidRPr="00112F64">
        <w:lastRenderedPageBreak/>
        <w:t xml:space="preserve">5.3 Comparative Discussion with </w:t>
      </w:r>
      <w:bookmarkEnd w:id="128"/>
      <w:r w:rsidR="00ED0CCF" w:rsidRPr="00112F64">
        <w:t>Literature</w:t>
      </w:r>
    </w:p>
    <w:p w14:paraId="3942249C" w14:textId="30319A39" w:rsidR="00112F64" w:rsidRPr="00112F64" w:rsidRDefault="00112F64" w:rsidP="002B358B">
      <w:pPr>
        <w:spacing w:line="360" w:lineRule="auto"/>
        <w:jc w:val="both"/>
      </w:pPr>
      <w:r w:rsidRPr="00112F64">
        <w:t xml:space="preserve">The Harare Fire Brigade data </w:t>
      </w:r>
      <w:r w:rsidR="00ED0CCF" w:rsidRPr="00112F64">
        <w:t>illuminates</w:t>
      </w:r>
      <w:r w:rsidRPr="00112F64">
        <w:t xml:space="preserve"> a complex urban fire risk landscape shaped by environmental conditions, everyday human activities, and systemic constraints within the city’s emergency services. Across a decade, the pattern is not simply </w:t>
      </w:r>
      <w:r w:rsidR="00ED0CCF" w:rsidRPr="00112F64">
        <w:t>one</w:t>
      </w:r>
      <w:r w:rsidRPr="00112F64">
        <w:t xml:space="preserve"> sporadic accidents but a structured profile in which vegetation management, domestic and commercial ignition sources, waste practices, and occupational settings interact with the capacity of fire protection infrastructure. This section of the research situates the Harare findings within the broader literature on urban fire risk, service capacity, and prevention, to draw implications for policy and practice that address the study’s aims: identifying main hazards, assessing impacts on people and environments, and strengthening prevention and response mechanisms.</w:t>
      </w:r>
    </w:p>
    <w:p w14:paraId="3983454C" w14:textId="796EB585" w:rsidR="00112F64" w:rsidRPr="00112F64" w:rsidRDefault="00112F64" w:rsidP="002B358B">
      <w:pPr>
        <w:spacing w:line="360" w:lineRule="auto"/>
        <w:jc w:val="both"/>
      </w:pPr>
      <w:r w:rsidRPr="00112F64">
        <w:t xml:space="preserve">The prominence of grass fires reveals the enduring importance of the urban vegetation interface as a primary hazard. In Harare, grass fires account for a striking 1,879 calls over ten years, with spikes in 2023 and 2024 signaling seasonal and climatic amplification. This aligns with a substantial body of literature on wildland–urban interfaces (WUI) and the role of fuel loads in driving outdoor fire risk. Studies across diverse geographies have shown that expansion of urban edges into vegetated landscapes, combined with long dry spells and heat stress, elevates ignition probabilities </w:t>
      </w:r>
      <w:r w:rsidR="00ED0CCF" w:rsidRPr="00112F64">
        <w:t>and</w:t>
      </w:r>
      <w:r w:rsidRPr="00112F64">
        <w:t xml:space="preserve"> spread (Bowman</w:t>
      </w:r>
      <w:r w:rsidRPr="00112F64">
        <w:rPr>
          <w:color w:val="222222"/>
          <w:shd w:val="clear" w:color="auto" w:fill="FFFFFF"/>
        </w:rPr>
        <w:t xml:space="preserve"> et al., 2020;</w:t>
      </w:r>
      <w:r w:rsidRPr="00112F64">
        <w:t xml:space="preserve"> Manzello, 2020 &amp;</w:t>
      </w:r>
      <w:r w:rsidRPr="00112F64">
        <w:rPr>
          <w:color w:val="222222"/>
          <w:shd w:val="clear" w:color="auto" w:fill="FFFFFF"/>
        </w:rPr>
        <w:t xml:space="preserve"> Ganteaume et al., 2021</w:t>
      </w:r>
      <w:r w:rsidRPr="00112F64">
        <w:t>). Generally overlooked but common in many cities, neglected vegetation and vacant plots further exacerbate ignition opportunities (Davis, 2022). Taken together, the Harare picture is consistent with global findings: environmental conditions coupled with insufficient vegetation management at the urban fringe create a high-leverage target for prevention. The policy implication is clear: targeted vegetation management, landscape design that reduces fuel continuity, and public education on safe land-clearing practices should be central to urban fire prevention in Harare and similar cities.</w:t>
      </w:r>
    </w:p>
    <w:p w14:paraId="7C06392A" w14:textId="77777777" w:rsidR="00112F64" w:rsidRPr="00112F64" w:rsidRDefault="00112F64" w:rsidP="002B358B">
      <w:pPr>
        <w:spacing w:line="360" w:lineRule="auto"/>
        <w:jc w:val="both"/>
      </w:pPr>
      <w:r w:rsidRPr="00112F64">
        <w:t xml:space="preserve">Domestic and commercial fires emerge as the next dominant sources, underscoring how routine daily activities and infrastructural weaknesses translate into substantial risk for residents and businesses. Domestic fires—driven by cooking, electrical faults, heating devices, and unattended appliances—reflect the intimate coupling of risk with occupancy patterns and home environments. Commercial fires, arising from electrical faults, equipment failures, and the presence or storage of flammables, reveal how workplaces and commercial spaces contribute to the urban hazard burden. These patterns resonate with global evidence that residential and commercial ignition sources remain persistent challenges in urban fire safety. International guidance and research emphasize </w:t>
      </w:r>
      <w:r w:rsidRPr="00112F64">
        <w:lastRenderedPageBreak/>
        <w:t>the need for enforcing safety bylaws, maintaining electrical infrastructure, and educating the public about safe practices (</w:t>
      </w:r>
      <w:r w:rsidRPr="00112F64">
        <w:rPr>
          <w:color w:val="000000" w:themeColor="text1"/>
        </w:rPr>
        <w:t>NFPA, 2024)</w:t>
      </w:r>
      <w:r w:rsidRPr="00112F64">
        <w:t>. The Harare findings thus corroborate a universal lesson: reducing routine ignition sources through regulatory enforcement, maintenance, and targeted safety campaigns is essential for curbing the everyday fire risk in cities.</w:t>
      </w:r>
    </w:p>
    <w:p w14:paraId="15CC082E" w14:textId="77777777" w:rsidR="00112F64" w:rsidRPr="00112F64" w:rsidRDefault="00112F64" w:rsidP="002B358B">
      <w:pPr>
        <w:spacing w:line="360" w:lineRule="auto"/>
        <w:jc w:val="both"/>
      </w:pPr>
      <w:r w:rsidRPr="00112F64">
        <w:t xml:space="preserve">Rubbish fires add another dimension to the urban fire profile, with 751 incidents and a notable dip to zero in 2021. While relatively variable, rubbish fires carry environmental and health consequences via air pollution and potential escalation into structural fires, especially when waste materials are flammable. The broader literature emphasizes waste management as a modifiable driver of urban fire risk and air quality concerns. Studies have linked open burning of waste to adverse health outcomes and environmental degradation, advocating for improved waste disposal practices and community engagement to reduce open burning </w:t>
      </w:r>
      <w:r w:rsidRPr="00112F64">
        <w:rPr>
          <w:color w:val="000000" w:themeColor="text1"/>
        </w:rPr>
        <w:t>(Jakhar et al., 2023</w:t>
      </w:r>
      <w:r w:rsidRPr="00112F64">
        <w:t>). The Harare data thus fit within this consensus and highlight waste management as a critical intervention point with co-benefits for health and climate change mitigation.</w:t>
      </w:r>
    </w:p>
    <w:p w14:paraId="4F62935E" w14:textId="77777777" w:rsidR="00112F64" w:rsidRPr="00112F64" w:rsidRDefault="00112F64" w:rsidP="002B358B">
      <w:pPr>
        <w:spacing w:line="360" w:lineRule="auto"/>
        <w:jc w:val="both"/>
      </w:pPr>
      <w:r w:rsidRPr="00112F64">
        <w:t xml:space="preserve">Industrial and home-industries fires, although smaller in absolute numbers, foreground occupational risk and facility-level vulnerabilities. The literature on industrial fires repeatedly underscores the importance of equipment maintenance, proper storage of flammables, process safety, and rigorous emergency procedures in workplaces </w:t>
      </w:r>
      <w:r w:rsidRPr="00112F64">
        <w:rPr>
          <w:color w:val="000000" w:themeColor="text1"/>
        </w:rPr>
        <w:t xml:space="preserve">(Zerbo et al., 2020; Abrar et al., 2025 &amp;, Naser &amp; Kodur, 2025) </w:t>
      </w:r>
      <w:r w:rsidRPr="00112F64">
        <w:t>The Harare findings reiterate that fire safety cannot be limited to homes or public spaces; workplaces require robust risk controls and preparedness. The market fires, while few, remind us that ignition risk persists in commercial-facing venues and dense urban areas, where crowding and ignition sources can amplify consequences.</w:t>
      </w:r>
    </w:p>
    <w:p w14:paraId="13BC6201" w14:textId="41A51264" w:rsidR="00112F64" w:rsidRPr="00112F64" w:rsidRDefault="00112F64" w:rsidP="002B358B">
      <w:pPr>
        <w:spacing w:line="360" w:lineRule="auto"/>
        <w:jc w:val="both"/>
      </w:pPr>
      <w:r w:rsidRPr="00112F64">
        <w:t xml:space="preserve">Beyond fire incidence, the human toll—injuries and deaths—offers a crucial lens on the social impacts of urban fires. The Harare data show an overall downward trend in injuries from 2015 to 2024 (peaking in 2019 and declining to 2024) and relatively rare fatalities, with several years recording zero deaths. This trajectory suggests improvements in safety practices, reporting, or both, echoing global observations that safety interventions, regulatory frameworks, and better emergency </w:t>
      </w:r>
      <w:r w:rsidR="00ED0CCF" w:rsidRPr="00112F64">
        <w:t>responses</w:t>
      </w:r>
      <w:r w:rsidRPr="00112F64">
        <w:t xml:space="preserve"> can reduce harm over time. Nevertheless, the persistence of injuries underscores ongoing vulnerability, particularly in high-risk settings. The literature corroborates that even as fatality rates decline, non-fatal injuries and economic losses remain significant, emphasizing the need for continuous risk reduction in both households and workplaces </w:t>
      </w:r>
      <w:r w:rsidRPr="00112F64">
        <w:rPr>
          <w:color w:val="000000" w:themeColor="text1"/>
        </w:rPr>
        <w:t>(Griffiths et al., 2022)</w:t>
      </w:r>
      <w:r w:rsidRPr="00112F64">
        <w:t>.</w:t>
      </w:r>
    </w:p>
    <w:p w14:paraId="3D088692" w14:textId="77777777" w:rsidR="00112F64" w:rsidRPr="00112F64" w:rsidRDefault="00112F64" w:rsidP="002B358B">
      <w:pPr>
        <w:spacing w:line="360" w:lineRule="auto"/>
        <w:jc w:val="both"/>
      </w:pPr>
      <w:r w:rsidRPr="00112F64">
        <w:lastRenderedPageBreak/>
        <w:t xml:space="preserve">A central structural theme in Harare is the capacity and organization of the fire protection service. The city currently relies on four stations, with mutual-aid arrangements, and a proposed expansion to six additional stations to achieve an average five-minute response time. This expansion aligns with established understandings in urban resilience literature: greater redundancy, broader geographic coverage, and rapid response capacities are critical for improving survival and reducing property losses in dense urban areas </w:t>
      </w:r>
      <w:r w:rsidRPr="00112F64">
        <w:rPr>
          <w:color w:val="000000" w:themeColor="text1"/>
        </w:rPr>
        <w:t>(Abrar et al., 2025)</w:t>
      </w:r>
      <w:r w:rsidRPr="00112F64">
        <w:t xml:space="preserve">. The capacity story in Harare is complicated by resource adequacy gaps: a total establishment of 320 with 226 filled positions (about 29.4% vacancies), and equipment shortfalls across multiple asset types, including under-functioning fire trucks, ladders, breathing apparatus, and portable pumps. These findings mirror global concerns about maintenance backlogs, procurement bottlenecks, and funding constraints that hinder urban fire services from meeting performance targets </w:t>
      </w:r>
      <w:r w:rsidRPr="00112F64">
        <w:rPr>
          <w:color w:val="000000" w:themeColor="text1"/>
        </w:rPr>
        <w:t>(Abrar et al., 2025)</w:t>
      </w:r>
      <w:r w:rsidRPr="00112F64">
        <w:t xml:space="preserve">. As the literature consistently shows, staffing and equipment readiness are not merely administrative concerns but core determinants of response times, casualty outcomes, and the overall resilience of urban fire protection systems. </w:t>
      </w:r>
    </w:p>
    <w:p w14:paraId="0B1F7073" w14:textId="77777777" w:rsidR="00112F64" w:rsidRPr="00112F64" w:rsidRDefault="00112F64" w:rsidP="002B358B">
      <w:pPr>
        <w:spacing w:line="360" w:lineRule="auto"/>
        <w:jc w:val="both"/>
      </w:pPr>
      <w:r w:rsidRPr="00112F64">
        <w:t xml:space="preserve">The risk assessment for 2024 adds another layer of insight: pervasive non-compliance in high-risk urban zones, especially in CBD quadrants and industrial areas, signals vulnerabilities in prevention and enforcement. The literature emphasizes that risk reduction in cities hinges on enforcement, compliance, and community engagement, with high-risk zones requiring prioritized inspections and accountability mechanisms </w:t>
      </w:r>
      <w:r w:rsidRPr="00112F64">
        <w:rPr>
          <w:color w:val="000000" w:themeColor="text1"/>
        </w:rPr>
        <w:t>(Griffiths et al., 2022)</w:t>
      </w:r>
      <w:r w:rsidRPr="00112F64">
        <w:t>. The Harare pattern—low compliance coupled with high risk—resonates with global calls for intensified prevention programs, targeted inspections, and stronger regulatory oversight in zones where the hazard is greatest.</w:t>
      </w:r>
    </w:p>
    <w:p w14:paraId="5029A459" w14:textId="77777777" w:rsidR="00112F64" w:rsidRPr="00112F64" w:rsidRDefault="00112F64" w:rsidP="002B358B">
      <w:pPr>
        <w:spacing w:line="360" w:lineRule="auto"/>
        <w:jc w:val="both"/>
        <w:rPr>
          <w:b/>
          <w:bCs/>
        </w:rPr>
      </w:pPr>
    </w:p>
    <w:p w14:paraId="6892C97D" w14:textId="77777777" w:rsidR="00112F64" w:rsidRPr="00112F64" w:rsidRDefault="00112F64" w:rsidP="002B358B">
      <w:pPr>
        <w:spacing w:line="360" w:lineRule="auto"/>
        <w:jc w:val="both"/>
        <w:rPr>
          <w:b/>
          <w:bCs/>
        </w:rPr>
      </w:pPr>
    </w:p>
    <w:p w14:paraId="6248B479" w14:textId="77777777" w:rsidR="00112F64" w:rsidRPr="00112F64" w:rsidRDefault="00112F64" w:rsidP="00394501">
      <w:pPr>
        <w:pStyle w:val="Heading2"/>
      </w:pPr>
      <w:bookmarkStart w:id="129" w:name="_Toc215652949"/>
      <w:r w:rsidRPr="00112F64">
        <w:t>5.4 Implications for Practice</w:t>
      </w:r>
      <w:bookmarkEnd w:id="129"/>
    </w:p>
    <w:p w14:paraId="1A406DA9" w14:textId="6DF8965C" w:rsidR="00112F64" w:rsidRPr="00112F64" w:rsidRDefault="00112F64" w:rsidP="002B358B">
      <w:pPr>
        <w:spacing w:line="360" w:lineRule="auto"/>
        <w:jc w:val="both"/>
      </w:pPr>
      <w:r w:rsidRPr="00112F64">
        <w:t xml:space="preserve">Taken together, the Harare case and the associated literature illuminate a coherent picture: urban fire risk is shaped by a triad of environmental and fuel conditions (especially vegetation and waste management), everyday ignition sources (residential and commercial practices), and systemic constraints in fire protection capacity and governance. The alignment between Harare’s empirical findings and </w:t>
      </w:r>
      <w:r w:rsidR="00ED0CCF" w:rsidRPr="00112F64">
        <w:t>international</w:t>
      </w:r>
      <w:r w:rsidRPr="00112F64">
        <w:t xml:space="preserve"> literature enhances confidence in the study’s conclusions and the recommended pathways for risk reduction. Specifically, three interlinked strands emerge as critical for reducing urban fire risk in Harare and similar urban contexts: (1) environmental and behavioral </w:t>
      </w:r>
      <w:r w:rsidRPr="00112F64">
        <w:lastRenderedPageBreak/>
        <w:t>prevention—reducing fuel loads through vegetation management, improving waste disposal practices, and strengthening electrical safety and public education; (2) capacity expansion and asset modernization—closing staffing gaps, maintaining functional equipment, and expanding the station network to achieve rapid response; and (3) enforcement-driven risk reduction—intensifying inspections and compliance in high-risk urban cores and industrial zones to reduce ignition opportunities and improve overall safety outcomes.</w:t>
      </w:r>
    </w:p>
    <w:p w14:paraId="34BBAEDB" w14:textId="77777777" w:rsidR="00112F64" w:rsidRPr="00112F64" w:rsidRDefault="00112F64" w:rsidP="002B358B">
      <w:pPr>
        <w:spacing w:line="360" w:lineRule="auto"/>
        <w:jc w:val="both"/>
      </w:pPr>
    </w:p>
    <w:p w14:paraId="1F2FE5D2" w14:textId="77777777" w:rsidR="00112F64" w:rsidRPr="00112F64" w:rsidRDefault="00112F64" w:rsidP="002B358B">
      <w:pPr>
        <w:spacing w:line="360" w:lineRule="auto"/>
        <w:jc w:val="both"/>
        <w:rPr>
          <w:b/>
          <w:bCs/>
        </w:rPr>
      </w:pPr>
      <w:r w:rsidRPr="00112F64">
        <w:rPr>
          <w:b/>
          <w:bCs/>
        </w:rPr>
        <w:t>5.6 Policy and Governance Recommendations</w:t>
      </w:r>
    </w:p>
    <w:p w14:paraId="0B90701A" w14:textId="77777777" w:rsidR="00112F64" w:rsidRPr="00112F64" w:rsidRDefault="00112F64">
      <w:pPr>
        <w:numPr>
          <w:ilvl w:val="0"/>
          <w:numId w:val="21"/>
        </w:numPr>
        <w:spacing w:line="360" w:lineRule="auto"/>
        <w:contextualSpacing/>
        <w:jc w:val="both"/>
        <w:rPr>
          <w:b/>
          <w:bCs/>
        </w:rPr>
      </w:pPr>
      <w:r w:rsidRPr="00112F64">
        <w:rPr>
          <w:b/>
          <w:bCs/>
        </w:rPr>
        <w:t>Main causes and urban fabric considerations in Harare</w:t>
      </w:r>
    </w:p>
    <w:p w14:paraId="3F293B82" w14:textId="77777777" w:rsidR="00112F64" w:rsidRPr="00112F64" w:rsidRDefault="00112F64" w:rsidP="002B358B">
      <w:pPr>
        <w:spacing w:line="360" w:lineRule="auto"/>
        <w:jc w:val="both"/>
      </w:pPr>
      <w:r w:rsidRPr="00112F64">
        <w:t>Urban fire hazards in Harare arise from a complex interplay between dense, often informal, urban fabric and the arrays of activities that cluster around markets, residential blocks, and industrial zones. The research provided data that illuminated both the patterns and the uncertainties that shape risk: Glen View Complex and Mbare Siyaso exhibit high variability in hotspot counts (standard deviations of 3.74 and 3.45 with means around 2–2.4), signaling volatile risk pockets even when average hotspot counts appear modest. Mbare Markets, by contrast, show lower variability (SD 1.03) but a persistently exposed exposure in a high-density commercial corridor. Across the dataset on incidents from 2015 to 2024, markets emerge as a recurrent locus of fire activity, while information on compliance reveals troubling gaps: several high-risk zones particularly CBD Quadrants 1 and 2, Willowvale Industrial, and Tynwald Industrial report low compliance rates despite high risk, underscoring a disjunction between hazard and management.</w:t>
      </w:r>
    </w:p>
    <w:p w14:paraId="2BDCCE8F" w14:textId="77777777" w:rsidR="00112F64" w:rsidRPr="00112F64" w:rsidRDefault="00112F64" w:rsidP="002B358B">
      <w:pPr>
        <w:spacing w:line="360" w:lineRule="auto"/>
        <w:jc w:val="both"/>
      </w:pPr>
    </w:p>
    <w:p w14:paraId="50ECFFBE" w14:textId="5DECD4B8" w:rsidR="00112F64" w:rsidRPr="00112F64" w:rsidRDefault="00112F64" w:rsidP="002B358B">
      <w:pPr>
        <w:spacing w:line="360" w:lineRule="auto"/>
        <w:jc w:val="both"/>
      </w:pPr>
      <w:r w:rsidRPr="00112F64">
        <w:t xml:space="preserve">The causes of urban fire hazards in Harare are thus multifaceted and </w:t>
      </w:r>
      <w:r w:rsidR="00ED0CCF" w:rsidRPr="00112F64">
        <w:t>context specific</w:t>
      </w:r>
      <w:r w:rsidRPr="00112F64">
        <w:t xml:space="preserve">. The city’s unique fabric dense, sometimes informal settlements with close housing proximity, informal waste accumulation, and the proximity of residential areas to commercial, industrial, and home-based production creates rapid ignition and spread pathways. Waste and rubbish fires, domestic and commercial activities, and home industries contribute substantially to ignition sources, while limited and aging firefighting assets and uneven enforcement hamper timely containment. Markets and commercial corridors intensify risk due to high occupant density, intense ignition sources, and complex layouts that can impede swift egress and hose lines. The data also </w:t>
      </w:r>
      <w:r w:rsidR="00ED0CCF" w:rsidRPr="00112F64">
        <w:t>indicates</w:t>
      </w:r>
      <w:r w:rsidRPr="00112F64">
        <w:t xml:space="preserve"> that while the total counts of incidents are high in markets across years, the hotspots themselves remain episodic </w:t>
      </w:r>
      <w:r w:rsidRPr="00112F64">
        <w:lastRenderedPageBreak/>
        <w:t>highlighting the need for surge capacity planning and dynamic resource allocation that can respond to volatile risk.</w:t>
      </w:r>
    </w:p>
    <w:p w14:paraId="2F1BF3EA" w14:textId="77777777" w:rsidR="00112F64" w:rsidRPr="00112F64" w:rsidRDefault="00112F64" w:rsidP="002B358B">
      <w:pPr>
        <w:spacing w:line="360" w:lineRule="auto"/>
        <w:jc w:val="both"/>
      </w:pPr>
    </w:p>
    <w:p w14:paraId="5E693451" w14:textId="77777777" w:rsidR="00112F64" w:rsidRPr="00112F64" w:rsidRDefault="00112F64">
      <w:pPr>
        <w:numPr>
          <w:ilvl w:val="0"/>
          <w:numId w:val="21"/>
        </w:numPr>
        <w:spacing w:line="360" w:lineRule="auto"/>
        <w:contextualSpacing/>
        <w:jc w:val="both"/>
        <w:rPr>
          <w:b/>
          <w:bCs/>
        </w:rPr>
      </w:pPr>
      <w:r w:rsidRPr="00112F64">
        <w:rPr>
          <w:b/>
          <w:bCs/>
        </w:rPr>
        <w:t>Impacts (tangible and intangible)</w:t>
      </w:r>
    </w:p>
    <w:p w14:paraId="0508FF3D" w14:textId="77777777" w:rsidR="00112F64" w:rsidRPr="00112F64" w:rsidRDefault="00112F64" w:rsidP="002B358B">
      <w:pPr>
        <w:spacing w:line="360" w:lineRule="auto"/>
        <w:jc w:val="both"/>
      </w:pPr>
      <w:r w:rsidRPr="00112F64">
        <w:t>The impacts of urban fire hazards in Harare are not confined to immediate loss of life and property. Tangible effects include destruction of homes, small businesses, and markets, with cascading consequences for livelihoods—particularly for informal traders, home industries, and low-income households whose means of earning and shelter are precarious. Health outcomes range from burns and smoke inhalation to chronic respiratory issues arising from repeated exposure to urban fires and polluted air during combustion of waste or building materials (Manisalidis et al 2020). Intangible harms are equally consequential, erosion of social cohesion as displacement fragments communities, distrust in municipal services grows, and recovery can be prolonged when households face recurring losses Mucherera &amp; Spiegel, 2022). Environmental footprints extend beyond the burned structures to broader ecological consequences, including debris and toxic pollutants released into air and water systems, with potential long-term impacts on urban health and biodiversity. The urban fabric’s disruption also reverberates through infrastructure and services: damaged roads and hydrants, interrupted water and electricity supply, and compromised communications hamper both prevention and response.</w:t>
      </w:r>
    </w:p>
    <w:p w14:paraId="45348BA5" w14:textId="77777777" w:rsidR="00112F64" w:rsidRPr="00112F64" w:rsidRDefault="00112F64" w:rsidP="002B358B">
      <w:pPr>
        <w:spacing w:line="360" w:lineRule="auto"/>
        <w:jc w:val="both"/>
      </w:pPr>
    </w:p>
    <w:p w14:paraId="0BDE1389" w14:textId="77777777" w:rsidR="00112F64" w:rsidRPr="00112F64" w:rsidRDefault="00112F64">
      <w:pPr>
        <w:numPr>
          <w:ilvl w:val="0"/>
          <w:numId w:val="21"/>
        </w:numPr>
        <w:spacing w:line="360" w:lineRule="auto"/>
        <w:contextualSpacing/>
        <w:jc w:val="both"/>
        <w:rPr>
          <w:b/>
          <w:bCs/>
        </w:rPr>
      </w:pPr>
      <w:r w:rsidRPr="00112F64">
        <w:rPr>
          <w:rFonts w:eastAsia="Calibri"/>
          <w:b/>
          <w:bCs/>
        </w:rPr>
        <w:t>Current response and capacity gaps</w:t>
      </w:r>
    </w:p>
    <w:p w14:paraId="61A01308" w14:textId="77777777" w:rsidR="00112F64" w:rsidRPr="00112F64" w:rsidRDefault="00112F64" w:rsidP="002B358B">
      <w:pPr>
        <w:spacing w:line="360" w:lineRule="auto"/>
        <w:jc w:val="both"/>
      </w:pPr>
      <w:r w:rsidRPr="00112F64">
        <w:t>Despite these risks, current Fire and Rescue capacity exhibits notable gaps. Asset inventories reveal misalignments between functional assets and ideal levels—breathing apparatus, portable pumps, aerial ladders, and specialist vehicles are below target, while manpower vacancies persist. Risk assessments show uneven compliance, with high-risk CBD and industrial zones frequently reporting low compliance rates (for example, CBD Quadrants 1 and 2, Willowvale Industrial, and Tynwald Industrial). The fragmentation of data—between hotspot counts, incident totals, asset inventories, and compliance metrics—creates barriers to coherent decision-making and resource allocation. In this context, a coherent policy architecture must integrate enforcement, infrastructure, urban planning, community resilience, and data sharing to reduce risk and accelerate recovery.</w:t>
      </w:r>
    </w:p>
    <w:p w14:paraId="550716D0" w14:textId="77777777" w:rsidR="00112F64" w:rsidRPr="00112F64" w:rsidRDefault="00112F64" w:rsidP="002B358B">
      <w:pPr>
        <w:spacing w:line="360" w:lineRule="auto"/>
        <w:jc w:val="both"/>
      </w:pPr>
    </w:p>
    <w:p w14:paraId="0C02FB8A" w14:textId="77777777" w:rsidR="00112F64" w:rsidRPr="00112F64" w:rsidRDefault="00112F64">
      <w:pPr>
        <w:numPr>
          <w:ilvl w:val="0"/>
          <w:numId w:val="21"/>
        </w:numPr>
        <w:spacing w:line="259" w:lineRule="auto"/>
        <w:contextualSpacing/>
        <w:jc w:val="both"/>
        <w:rPr>
          <w:rFonts w:eastAsia="Calibri"/>
          <w:b/>
          <w:bCs/>
          <w:sz w:val="22"/>
          <w:szCs w:val="22"/>
        </w:rPr>
      </w:pPr>
      <w:r w:rsidRPr="00112F64">
        <w:rPr>
          <w:rFonts w:eastAsia="Calibri"/>
          <w:b/>
          <w:bCs/>
          <w:sz w:val="22"/>
          <w:szCs w:val="22"/>
        </w:rPr>
        <w:lastRenderedPageBreak/>
        <w:t>Enforcement, rapid risk reduction, and data integration</w:t>
      </w:r>
    </w:p>
    <w:p w14:paraId="697885AB" w14:textId="77777777" w:rsidR="00112F64" w:rsidRPr="00112F64" w:rsidRDefault="00112F64" w:rsidP="002B358B">
      <w:pPr>
        <w:spacing w:line="360" w:lineRule="auto"/>
        <w:jc w:val="both"/>
      </w:pPr>
      <w:r w:rsidRPr="00112F64">
        <w:t>Translating these insights into actionable policy requires a staged approach aligned with the city’s governance, budgetary realities, and community needs. In the short term, the emphasis must be on enforcement, rapid risk reduction, and data integration. Targeted inspections should be intensified in high-risk and low-compliance zones—particularly CBD Quadrants 1 and 2, Willowvale Industrial, Mbare Markets, and other identified clusters—coupled with a policy that ties licensing and permits to demonstrable fire safety compliance. Immediate risk reduction should ensure unobstructed access for fire appliances and hydrants, with rapid refurbishment or replacement of essential assets such as breathing apparatus and portable pumps to enhance responder readiness. A centralized Fire Risk Information Platform (FRIP) is essential for consolidating hotspot data, incident counts, compliance results, and asset inventories, enabling geospatial analyses to guide deployment and inspections. Community engagement should accompany these measures, with pilot fire warden programs and household safety campaigns that empower residents to reduce ignition sources and improve reporting.</w:t>
      </w:r>
    </w:p>
    <w:p w14:paraId="4FACD53A" w14:textId="77777777" w:rsidR="00112F64" w:rsidRPr="00112F64" w:rsidRDefault="00112F64" w:rsidP="002B358B">
      <w:pPr>
        <w:spacing w:line="360" w:lineRule="auto"/>
        <w:jc w:val="both"/>
        <w:rPr>
          <w:rFonts w:eastAsia="Calibri"/>
          <w:b/>
          <w:bCs/>
          <w:sz w:val="22"/>
          <w:szCs w:val="22"/>
        </w:rPr>
      </w:pPr>
    </w:p>
    <w:p w14:paraId="347CDF53" w14:textId="77777777" w:rsidR="00112F64" w:rsidRPr="00112F64" w:rsidRDefault="00112F64">
      <w:pPr>
        <w:numPr>
          <w:ilvl w:val="0"/>
          <w:numId w:val="21"/>
        </w:numPr>
        <w:spacing w:line="360" w:lineRule="auto"/>
        <w:contextualSpacing/>
        <w:jc w:val="both"/>
        <w:rPr>
          <w:b/>
          <w:bCs/>
        </w:rPr>
      </w:pPr>
      <w:r w:rsidRPr="00112F64">
        <w:rPr>
          <w:rFonts w:eastAsia="Calibri"/>
          <w:b/>
          <w:bCs/>
          <w:sz w:val="22"/>
          <w:szCs w:val="22"/>
        </w:rPr>
        <w:t>Immediate risk reduction</w:t>
      </w:r>
    </w:p>
    <w:p w14:paraId="3590310B" w14:textId="77777777" w:rsidR="00112F64" w:rsidRPr="00112F64" w:rsidRDefault="00112F64" w:rsidP="002B358B">
      <w:pPr>
        <w:spacing w:line="360" w:lineRule="auto"/>
        <w:jc w:val="both"/>
      </w:pPr>
      <w:r w:rsidRPr="00112F64">
        <w:t>In the medium term (1–3 years), governance and planning must mature to create a coherent, accountable system that integrates fire risk into urban planning. Formal inter-agency governance with clearly delineated roles within the city, fire brigade, municipal police, and urban planning department. Publicly reported annual compliance targets should anchor accountability, while expanded training and recruitment can address staffing gaps. Infrastructure upgrades should align with risk profiles, prioritizing high-need areas for equipment upgrades, improved water access, hydrant maintenance, and the potential deployment of additional fire stations or mobile units to reduce response times. Urban planning must reflect fire risk considerations, with market design standards that include fire lanes, safe egress, and waste management protocols, and with zoning that minimizes exposure of high-risk informal settlements to critical infrastructure.</w:t>
      </w:r>
    </w:p>
    <w:p w14:paraId="77B64E2E" w14:textId="77777777" w:rsidR="00112F64" w:rsidRPr="00112F64" w:rsidRDefault="00112F64" w:rsidP="002B358B">
      <w:pPr>
        <w:spacing w:line="360" w:lineRule="auto"/>
        <w:jc w:val="both"/>
      </w:pPr>
    </w:p>
    <w:p w14:paraId="27E23D17" w14:textId="77777777" w:rsidR="00112F64" w:rsidRPr="00112F64" w:rsidRDefault="00112F64">
      <w:pPr>
        <w:numPr>
          <w:ilvl w:val="0"/>
          <w:numId w:val="21"/>
        </w:numPr>
        <w:spacing w:line="259" w:lineRule="auto"/>
        <w:contextualSpacing/>
        <w:jc w:val="both"/>
        <w:rPr>
          <w:rFonts w:eastAsia="Calibri"/>
          <w:b/>
          <w:bCs/>
        </w:rPr>
      </w:pPr>
      <w:r w:rsidRPr="00112F64">
        <w:rPr>
          <w:rFonts w:eastAsia="Calibri"/>
          <w:b/>
          <w:bCs/>
        </w:rPr>
        <w:t>Community engagement</w:t>
      </w:r>
    </w:p>
    <w:p w14:paraId="2D4E50EE" w14:textId="77777777" w:rsidR="00112F64" w:rsidRPr="00112F64" w:rsidRDefault="00112F64" w:rsidP="002B358B">
      <w:pPr>
        <w:spacing w:line="360" w:lineRule="auto"/>
        <w:jc w:val="both"/>
      </w:pPr>
      <w:r w:rsidRPr="00112F64">
        <w:t xml:space="preserve">Community resilience should shift from ad hoc mobilization to sustained capacity-building. Scaled-up programs for community-based fire committees, livelihood-protective measures for home industries, and insurance options or resilience funds for informal workers can reduce exposure and accelerate recovery. Data interoperability between agencies—enabling health, </w:t>
      </w:r>
      <w:r w:rsidRPr="00112F64">
        <w:lastRenderedPageBreak/>
        <w:t>environmental services, planning, and fire services to access harmonized information—will promote timely, coordinated responses. Data governance must protect privacy while ensuring rapid sharing of hazard information and incident data, with standardized reporting formats and quarterly reviews to adjust strategies.</w:t>
      </w:r>
    </w:p>
    <w:p w14:paraId="30838F6E" w14:textId="77777777" w:rsidR="00112F64" w:rsidRPr="00112F64" w:rsidRDefault="00112F64" w:rsidP="002B358B">
      <w:pPr>
        <w:jc w:val="both"/>
      </w:pPr>
    </w:p>
    <w:p w14:paraId="4222480D" w14:textId="77777777" w:rsidR="00112F64" w:rsidRPr="00112F64" w:rsidRDefault="00112F64">
      <w:pPr>
        <w:numPr>
          <w:ilvl w:val="0"/>
          <w:numId w:val="21"/>
        </w:numPr>
        <w:contextualSpacing/>
        <w:jc w:val="both"/>
      </w:pPr>
      <w:r w:rsidRPr="00112F64">
        <w:rPr>
          <w:b/>
          <w:bCs/>
        </w:rPr>
        <w:t>Resilience, climate-adaptive planning, and sustained capacity</w:t>
      </w:r>
    </w:p>
    <w:p w14:paraId="3832F370" w14:textId="51C48805" w:rsidR="00112F64" w:rsidRPr="00112F64" w:rsidRDefault="00112F64" w:rsidP="002B358B">
      <w:pPr>
        <w:spacing w:line="360" w:lineRule="auto"/>
        <w:jc w:val="both"/>
      </w:pPr>
      <w:r w:rsidRPr="00112F64">
        <w:t>Longer-term planning (3+ years) should be climate-responsive and ecologically mindful. A climate-adaptive fire resilience framework should anticipate rising heat days and wind-driven risk, deploying cooling centers and heat-moderating urban design. Vegetation management around settlements and along transport corridors</w:t>
      </w:r>
      <w:r w:rsidR="00044B1B">
        <w:t xml:space="preserve">  </w:t>
      </w:r>
      <w:r w:rsidRPr="00112F64">
        <w:t>where appropriate and safe—can reduce fuel loads without compromising livelihoods or ecological integrity. The city can pursue green-blue infrastructure</w:t>
      </w:r>
      <w:r w:rsidR="00044B1B">
        <w:t xml:space="preserve"> </w:t>
      </w:r>
      <w:r w:rsidRPr="00112F64">
        <w:t>permeable pavements, rainwater harvesting, and open spaces that help absorb heat, manage water, and provide safety buffers against fire spread. Waste management must be overhauled, with centralized disposal facilities and regular collection designed to reduce unattended rubbish fires. Institutional maturity will require stable, multi-year funding for maintenance, training, and data systems, along with annual independent audits to ensure accountability and progress. Equity should be at the center of all long-term efforts—ensuring that low-income and informal sector residents receive access to safety resources, insurance options, and recovery support.</w:t>
      </w:r>
    </w:p>
    <w:p w14:paraId="15B1EBED" w14:textId="77777777" w:rsidR="00112F64" w:rsidRPr="00112F64" w:rsidRDefault="00112F64" w:rsidP="002B358B">
      <w:pPr>
        <w:spacing w:line="360" w:lineRule="auto"/>
        <w:jc w:val="both"/>
        <w:rPr>
          <w:b/>
          <w:bCs/>
        </w:rPr>
      </w:pPr>
    </w:p>
    <w:p w14:paraId="65B4AD93" w14:textId="77777777" w:rsidR="00112F64" w:rsidRPr="00112F64" w:rsidRDefault="00112F64">
      <w:pPr>
        <w:numPr>
          <w:ilvl w:val="0"/>
          <w:numId w:val="21"/>
        </w:numPr>
        <w:spacing w:line="360" w:lineRule="auto"/>
        <w:contextualSpacing/>
        <w:jc w:val="both"/>
        <w:rPr>
          <w:b/>
          <w:bCs/>
        </w:rPr>
      </w:pPr>
      <w:r w:rsidRPr="00112F64">
        <w:rPr>
          <w:b/>
          <w:bCs/>
        </w:rPr>
        <w:t>Sustainable urban form and ecological footprint</w:t>
      </w:r>
    </w:p>
    <w:p w14:paraId="5F73CF5F" w14:textId="77777777" w:rsidR="00112F64" w:rsidRPr="00112F64" w:rsidRDefault="00112F64" w:rsidP="002B358B">
      <w:pPr>
        <w:spacing w:line="360" w:lineRule="auto"/>
        <w:jc w:val="both"/>
      </w:pPr>
      <w:r w:rsidRPr="00112F64">
        <w:t>A concise synthesis of the action agenda can be articulated through a policy-table narrative that aligns with Harare’s institutional realities. Short-term actions prioritize visible enforcement, rapid asset readiness, data integration, and community engagement. Medium-term actions emphasize governance, planning integration, infrastructure upgrades, and enhanced market safety. Long-term actions commit to climate-resilient systems, sustainable urban design, and sustained, equitable capacity-building.</w:t>
      </w:r>
    </w:p>
    <w:p w14:paraId="78E749B9" w14:textId="77777777" w:rsidR="00112F64" w:rsidRPr="00112F64" w:rsidRDefault="00112F64" w:rsidP="002B358B">
      <w:pPr>
        <w:spacing w:line="360" w:lineRule="auto"/>
        <w:jc w:val="both"/>
      </w:pPr>
    </w:p>
    <w:p w14:paraId="5C0432B8" w14:textId="77777777" w:rsidR="00112F64" w:rsidRPr="00112F64" w:rsidRDefault="00112F64" w:rsidP="002B358B">
      <w:pPr>
        <w:spacing w:line="360" w:lineRule="auto"/>
        <w:jc w:val="both"/>
      </w:pPr>
      <w:r w:rsidRPr="00112F64">
        <w:t xml:space="preserve">From a data-informed perspective, the variability in hotspot counts at Glen View Complex and Mbare Siyaso calls for surge capacity in resource allocation and flexible inspection regimes that can react to seasonal or event-driven spikes. The Market-focused data underscores the imperative of market safety interventions—layout redesigns, designated fire lanes, and stringent waste </w:t>
      </w:r>
      <w:r w:rsidRPr="00112F64">
        <w:lastRenderedPageBreak/>
        <w:t>management. The persistent compliance gaps demand governance reforms and transparent performance metrics to restore trust and compliance. Asset gaps—such as breathing apparatus and aerial ladders—must be prioritized in alignment with risk exposure to ensure readiness across high-density districts and markets.</w:t>
      </w:r>
    </w:p>
    <w:p w14:paraId="281AA811" w14:textId="77777777" w:rsidR="00112F64" w:rsidRPr="00112F64" w:rsidRDefault="00112F64" w:rsidP="002B358B">
      <w:pPr>
        <w:spacing w:line="360" w:lineRule="auto"/>
        <w:jc w:val="both"/>
      </w:pPr>
    </w:p>
    <w:p w14:paraId="21AE6B3F" w14:textId="37F096CA" w:rsidR="00112F64" w:rsidRPr="00112F64" w:rsidRDefault="00112F64" w:rsidP="002B358B">
      <w:pPr>
        <w:spacing w:line="360" w:lineRule="auto"/>
        <w:jc w:val="both"/>
      </w:pPr>
      <w:r w:rsidRPr="00112F64">
        <w:t xml:space="preserve">To </w:t>
      </w:r>
      <w:r w:rsidR="00044B1B" w:rsidRPr="00112F64">
        <w:t>implement</w:t>
      </w:r>
      <w:r w:rsidRPr="00112F64">
        <w:t xml:space="preserve"> these policies, data sharing protocols must be established. A centralized FRIP should set role-based access, standardized reporting formats, and defined interoperability standards so that fire services, urban planners, health authorities, and environmental agencies can coordinate effectively. Privacy safeguards and governance structures are essential for responsible data use. Quarterly data reviews will allow iterative adjustment of enforcement intensity, resource deployment, and planning interventions.</w:t>
      </w:r>
    </w:p>
    <w:p w14:paraId="3B5505E9" w14:textId="77777777" w:rsidR="00112F64" w:rsidRPr="00112F64" w:rsidRDefault="00112F64" w:rsidP="002B358B">
      <w:pPr>
        <w:spacing w:line="360" w:lineRule="auto"/>
        <w:jc w:val="both"/>
      </w:pPr>
    </w:p>
    <w:p w14:paraId="47D0940F" w14:textId="77777777" w:rsidR="00112F64" w:rsidRPr="00112F64" w:rsidRDefault="00112F64" w:rsidP="002B358B">
      <w:pPr>
        <w:spacing w:line="360" w:lineRule="auto"/>
        <w:jc w:val="both"/>
      </w:pPr>
      <w:r w:rsidRPr="00112F64">
        <w:t xml:space="preserve">Harare’s path to stronger fire prevention, faster and more effective response, and resilient communities’ rests on an integrated policy framework that translates empirical patterns into concrete, accountable actions. Short-term enforcement and data integration lay the foundation for medium-term governance, infrastructure modernization, and urban-planning integration, while long-term climate-adaptive resilience, sustainable urban design, and equity-focused capacity-building will sustain safety gains in the face of urban growth and climate variability. </w:t>
      </w:r>
    </w:p>
    <w:p w14:paraId="27CCEA2D" w14:textId="77777777" w:rsidR="00112F64" w:rsidRPr="00112F64" w:rsidRDefault="00112F64">
      <w:pPr>
        <w:numPr>
          <w:ilvl w:val="0"/>
          <w:numId w:val="21"/>
        </w:numPr>
        <w:autoSpaceDE w:val="0"/>
        <w:autoSpaceDN w:val="0"/>
        <w:adjustRightInd w:val="0"/>
        <w:spacing w:line="400" w:lineRule="atLeast"/>
        <w:contextualSpacing/>
        <w:jc w:val="both"/>
      </w:pPr>
      <w:r w:rsidRPr="00112F64">
        <w:rPr>
          <w:b/>
          <w:bCs/>
        </w:rPr>
        <w:t>Residential Fire Risk Assessments in Harare</w:t>
      </w:r>
    </w:p>
    <w:p w14:paraId="7B409B4F" w14:textId="77777777" w:rsidR="00112F64" w:rsidRPr="00112F64" w:rsidRDefault="00112F64" w:rsidP="002B358B">
      <w:pPr>
        <w:autoSpaceDE w:val="0"/>
        <w:autoSpaceDN w:val="0"/>
        <w:adjustRightInd w:val="0"/>
        <w:spacing w:line="400" w:lineRule="atLeast"/>
        <w:jc w:val="both"/>
      </w:pPr>
      <w:r w:rsidRPr="00112F64">
        <w:t>From a policy perspective, the research findings point to the necessity of regulatory reform. Amendments to existing by-laws or the development of new policies are essential to incorporate residential properties into formal fire risk assessment and safety inspection regimes. Institutional reforms should include establishing a dedicated residential fire safety unit or an equivalent body equipped with clear authority, resources, and standardized assessment tools. Such measures would facilitate consistent hazard identification, resident education, and enforcement of safety standards, including the installation of smoke alarms, accessible fire extinguishers, and safe electrical practices.</w:t>
      </w:r>
    </w:p>
    <w:p w14:paraId="7893132B" w14:textId="77777777" w:rsidR="00112F64" w:rsidRPr="00112F64" w:rsidRDefault="00112F64" w:rsidP="002B358B">
      <w:pPr>
        <w:autoSpaceDE w:val="0"/>
        <w:autoSpaceDN w:val="0"/>
        <w:adjustRightInd w:val="0"/>
        <w:spacing w:line="400" w:lineRule="atLeast"/>
        <w:jc w:val="both"/>
      </w:pPr>
      <w:r w:rsidRPr="00112F64">
        <w:t xml:space="preserve">Updating and harmonizing standards and guidance is also crucial. The current by-laws, formulated in the late 20th century, should be revised to align with contemporary fire safety practices applicable to various housing types—including multi-family and informal settlements. Developing a modern, balanced regulatory framework would ensure enforceability while respecting the </w:t>
      </w:r>
      <w:r w:rsidRPr="00112F64">
        <w:lastRenderedPageBreak/>
        <w:t>housing diversity in Harare. Additionally, establishing a comprehensive data and evaluation system is vital for tracking incidents, causes, and outcomes, enabling evidence-based policy adjustments.</w:t>
      </w:r>
    </w:p>
    <w:p w14:paraId="3D5340FF" w14:textId="77777777" w:rsidR="00112F64" w:rsidRPr="00112F64" w:rsidRDefault="00112F64" w:rsidP="002B358B">
      <w:pPr>
        <w:autoSpaceDE w:val="0"/>
        <w:autoSpaceDN w:val="0"/>
        <w:adjustRightInd w:val="0"/>
        <w:spacing w:line="400" w:lineRule="atLeast"/>
        <w:jc w:val="both"/>
      </w:pPr>
      <w:r w:rsidRPr="00112F64">
        <w:t>Public engagement and education are equally important. Communities need clear, accessible guidance on home safety measures tailored to their specific contexts, especially resource-constrained households where installing safety devices may be challenging. An effective phased action plan can guide reforms: starting with diagnostic and legal reviews, establishing a dedicated residential safety unit, developing assessment tools, piloting programs, and eventually scaling up city-wide with continuous monitoring and refinement.</w:t>
      </w:r>
    </w:p>
    <w:p w14:paraId="3DF15186" w14:textId="77777777" w:rsidR="00112F64" w:rsidRPr="00112F64" w:rsidRDefault="00112F64" w:rsidP="002B358B">
      <w:pPr>
        <w:autoSpaceDE w:val="0"/>
        <w:autoSpaceDN w:val="0"/>
        <w:adjustRightInd w:val="0"/>
        <w:spacing w:line="400" w:lineRule="atLeast"/>
        <w:jc w:val="both"/>
      </w:pPr>
    </w:p>
    <w:p w14:paraId="6DD1682E" w14:textId="77777777" w:rsidR="00112F64" w:rsidRPr="00112F64" w:rsidRDefault="00112F64" w:rsidP="002B358B">
      <w:pPr>
        <w:autoSpaceDE w:val="0"/>
        <w:autoSpaceDN w:val="0"/>
        <w:adjustRightInd w:val="0"/>
        <w:spacing w:line="400" w:lineRule="atLeast"/>
        <w:jc w:val="both"/>
      </w:pPr>
      <w:r w:rsidRPr="00112F64">
        <w:t>Addressing data gaps is fundamental to informing policies and measuring success. There is a pressing need for empirical research to quantify the relationship between the absence of residential assessments and fire incidence. Collecting baseline data on residential fires, causes, and outcomes will support resource planning and policy development, ensuring interventions are targeted and effective.</w:t>
      </w:r>
    </w:p>
    <w:p w14:paraId="15969923" w14:textId="77777777" w:rsidR="00112F64" w:rsidRPr="00112F64" w:rsidRDefault="00112F64" w:rsidP="00394501">
      <w:pPr>
        <w:pStyle w:val="Heading2"/>
      </w:pPr>
    </w:p>
    <w:p w14:paraId="4D7D80E5" w14:textId="77777777" w:rsidR="00112F64" w:rsidRPr="00112F64" w:rsidRDefault="00112F64" w:rsidP="00394501">
      <w:pPr>
        <w:pStyle w:val="Heading2"/>
      </w:pPr>
      <w:bookmarkStart w:id="130" w:name="_Toc215652950"/>
      <w:r w:rsidRPr="00112F64">
        <w:t>5.7 Limitations of the Study</w:t>
      </w:r>
      <w:bookmarkEnd w:id="130"/>
    </w:p>
    <w:p w14:paraId="62C6BF56" w14:textId="77777777" w:rsidR="00112F64" w:rsidRPr="00112F64" w:rsidRDefault="00112F64" w:rsidP="002B358B">
      <w:pPr>
        <w:spacing w:line="360" w:lineRule="auto"/>
        <w:jc w:val="both"/>
      </w:pPr>
      <w:r w:rsidRPr="00112F64">
        <w:t>This study undertakes a case-based inquiry into urban fire hazards in Harare, treating the city as a living laboratory for risk, resilience, and policy learning. In presenting a seven-category framework to capture the heterogeneity of urban fire incidents and in detailing data preparation and quality assurance procedures, the researcher contribute to a nuanced understanding of fire risks in an African urban context. Yet, as with any research design and data-driven analysis, several limitations warrant careful consideration. An explicit articulation of these limitations is essential to avoid overgeneralization, to guide prudent interpretation of findings, and to illuminate avenues for methodological refinement and future inquiry.</w:t>
      </w:r>
    </w:p>
    <w:p w14:paraId="7DA72087" w14:textId="77777777" w:rsidR="00112F64" w:rsidRPr="00112F64" w:rsidRDefault="00112F64" w:rsidP="002B358B">
      <w:pPr>
        <w:spacing w:line="360" w:lineRule="auto"/>
        <w:jc w:val="both"/>
      </w:pPr>
      <w:r w:rsidRPr="00112F64">
        <w:t xml:space="preserve">The study’s design and scope inherently constrain generalizability. By centering Harare as the primary case, the analysis foregrounds context-specific drivers such as local urban fabric, governance structures, informal settlement dynamics, and service delivery patterns that may not precisely translate to other cities. While the seven-category framework enables context-sensitive insights, it risks oversimplifying the complexity of urban fire events. Fires often emanate from mixed-use configurations and exhibit cascading effects that traverse more than one category at once; for example, a dumpsite fire may quickly threaten nearby residential areas and commercial </w:t>
      </w:r>
      <w:r w:rsidRPr="00112F64">
        <w:lastRenderedPageBreak/>
        <w:t>activities. In such instances, rigid category boundaries can obscure cross-cutting drivers and feedbacks, limiting the utility of the framework for understanding interdependencies across urban systems.</w:t>
      </w:r>
    </w:p>
    <w:p w14:paraId="4F0DB9B5" w14:textId="54736B96" w:rsidR="00112F64" w:rsidRPr="00112F64" w:rsidRDefault="00112F64" w:rsidP="002B358B">
      <w:pPr>
        <w:spacing w:line="360" w:lineRule="auto"/>
        <w:jc w:val="both"/>
      </w:pPr>
      <w:r w:rsidRPr="00112F64">
        <w:t xml:space="preserve">The study’s reliance on existing data sources raises concerns about data quality and coverage. The validity of hotspot analyses, cause-attribution, and trend detection hinges on incident records, risk assessments, and prevention records that may be incomplete, inconsistently recorded, or unevenly available across agencies. </w:t>
      </w:r>
      <w:r w:rsidR="00044B1B" w:rsidRPr="00112F64">
        <w:t>Precision</w:t>
      </w:r>
      <w:r w:rsidRPr="00112F64">
        <w:t xml:space="preserve"> and the attribution of fire causes are particularly susceptible to uncertainty, which can bias the identification of high-risk zones and the inference of underlying drivers. Temporal gaps and lags in reporting further threaten the accuracy of trend analyses and the detection of emergent hotspots. While the authors acknowledge gaps and apply imputation and uncertainty quantification, such approaches rest on assumptions about the missingness mechanism. If data are not missing at random, or if key drivers are unobserved, imputation can introduce biases that propagate through subsequent analyses and policy recommendations.</w:t>
      </w:r>
    </w:p>
    <w:p w14:paraId="2092FF0F" w14:textId="7B08656E" w:rsidR="00112F64" w:rsidRPr="00112F64" w:rsidRDefault="00112F64" w:rsidP="002B358B">
      <w:pPr>
        <w:spacing w:line="360" w:lineRule="auto"/>
        <w:jc w:val="both"/>
      </w:pPr>
      <w:r w:rsidRPr="00112F64">
        <w:t>Methodological choices in data cleaning and standardization entail trade-offs between comparability and nuance. The use of case-wise deletion for missing data, while straightforward, can yield biased samples when missingness correlates with important factors such as incidents in informal settlements occurring outside official hours or in areas with weaker reporting infrastructure. Open-ended qualitative responses require coding by independent coders and iterative validation, but coding remains inherently subjective and prone to interpretive drift. Standardizing incident classifications into predefined seven categories enhances comparability but may mask subtypes, rapid context-specific evolutions, or nuanced distinctions between incident causes (for example, differentiating electrical faults from illegal dumping versus social practice factors). These choices can shape the interpretation of drivers, risk profiles, and resilience needs.</w:t>
      </w:r>
    </w:p>
    <w:p w14:paraId="424FA5E3" w14:textId="77777777" w:rsidR="00112F64" w:rsidRPr="00112F64" w:rsidRDefault="00112F64" w:rsidP="002B358B">
      <w:pPr>
        <w:spacing w:line="360" w:lineRule="auto"/>
        <w:jc w:val="both"/>
      </w:pPr>
      <w:r w:rsidRPr="00112F64">
        <w:t>External validity and transferability warrant cautious consideration. Urban risk environments are dynamic, shaped by population growth, climate variability, infrastructure development, and policy shifts. A static snapshot or a historical synthesis may not capture future trajectories, increasing the risk that policy recommendations become outdated or misaligned with evolving conditions. Even if findings prove valuable within Harare, applying them wholesale to other cities without substantial localization risks inappropriate interventions that fail to account for different governance capacities, informal economy structures, or cultural practices.</w:t>
      </w:r>
    </w:p>
    <w:p w14:paraId="656A57AA" w14:textId="50BC771A" w:rsidR="00112F64" w:rsidRPr="00112F64" w:rsidRDefault="00112F64" w:rsidP="002B358B">
      <w:pPr>
        <w:spacing w:line="360" w:lineRule="auto"/>
        <w:jc w:val="both"/>
      </w:pPr>
      <w:r w:rsidRPr="00112F64">
        <w:lastRenderedPageBreak/>
        <w:t xml:space="preserve">Analytical and causal inference limitations must be acknowledged. The study appears to emphasize identifying drivers and categorizing risk but may not employ rigorous quasi-experimental methods capable of establishing causal relationships. Without strong causal identification, policy recommendations may reflect associations rather than proven causes. Additionally, while the seven-category lens recognizes interdependencies, it may not fully illuminate complex feedback loops—such as how prevention investments alter resident behavior, or how dumpsite management affects market accessibility and informal livelihoods. Understanding </w:t>
      </w:r>
      <w:r w:rsidR="00055D8B" w:rsidRPr="00112F64">
        <w:t>this feedback</w:t>
      </w:r>
      <w:r w:rsidRPr="00112F64">
        <w:t xml:space="preserve"> is crucial for designing resilient urban systems.</w:t>
      </w:r>
    </w:p>
    <w:p w14:paraId="3BB20C6B" w14:textId="77777777" w:rsidR="00112F64" w:rsidRPr="00112F64" w:rsidRDefault="00112F64" w:rsidP="002B358B">
      <w:pPr>
        <w:spacing w:line="360" w:lineRule="auto"/>
        <w:jc w:val="both"/>
      </w:pPr>
      <w:r w:rsidRPr="00112F64">
        <w:t>Stakeholder engagement, ethics, and governance considerations influence both credibility and impact. The extent and representativeness of stakeholder validation determine whether diverse perspectives—particularly those of residents in informal settlements, frontline responders, women, youth, and marginalized groups—are integrated into findings and recommendations. The translation from research insights to policy and practice is contingent on political will, resource availability, and institutional capacity. If engagement is uneven or tokenistic, the uptake of recommendations may be limited, diminishing the study’s practical relevance.</w:t>
      </w:r>
    </w:p>
    <w:p w14:paraId="044F787E" w14:textId="0534DFB8" w:rsidR="00112F64" w:rsidRPr="00112F64" w:rsidRDefault="00112F64" w:rsidP="002B358B">
      <w:pPr>
        <w:spacing w:line="360" w:lineRule="auto"/>
        <w:jc w:val="both"/>
      </w:pPr>
      <w:r w:rsidRPr="00112F64">
        <w:t>While the study makes a valuable contribution by foregrounding Harare’s urban fire hazards through a structured, category-based lens and by emphasizing data quality and practical resilience, its limitations should temper interpretation and guide future work. Addressing these limitations could entail expanding the temporal and spatial scope to include comparative city contexts, incorporating robust causal inference designs (such as natural experiments or instrumental variable approaches where feasible), enhancing data collection in underrepresented areas, enriching stakeholder participation with iterative verification, and integrating explicit equity considerations into both analysis and policy translation. Such enhancements would strengthen the reliability, relevance, and transferability of insights for urban fire risk reduction in Harare and beyond.</w:t>
      </w:r>
    </w:p>
    <w:p w14:paraId="77CE1D49" w14:textId="23FD1793" w:rsidR="00112F64" w:rsidRPr="00112F64" w:rsidRDefault="00112F64" w:rsidP="00394501">
      <w:pPr>
        <w:pStyle w:val="Heading2"/>
      </w:pPr>
      <w:bookmarkStart w:id="131" w:name="_Toc215652951"/>
      <w:r w:rsidRPr="00112F64">
        <w:t xml:space="preserve">5.7 </w:t>
      </w:r>
      <w:r w:rsidR="001D20FA">
        <w:t xml:space="preserve">Future research </w:t>
      </w:r>
      <w:bookmarkEnd w:id="131"/>
    </w:p>
    <w:p w14:paraId="4DD24288" w14:textId="608A3DC5" w:rsidR="00112F64" w:rsidRPr="00112F64" w:rsidRDefault="00112F64" w:rsidP="002B358B">
      <w:pPr>
        <w:spacing w:line="360" w:lineRule="auto"/>
        <w:jc w:val="both"/>
      </w:pPr>
      <w:r w:rsidRPr="00112F64">
        <w:t>Ten years of fire-incident data from Harare show that grass fires are by far the most frequent category, with notable surges in 2023 and 2024. Domestic and commercial fires together account for a substantial portion of the urban-fire burden, while rubbish fires, and to a lesser extent industrial and market fires, contribute to environmental and safety risks in different ways. This nested hierarchy</w:t>
      </w:r>
      <w:r w:rsidR="00044B1B">
        <w:t xml:space="preserve"> </w:t>
      </w:r>
      <w:r w:rsidRPr="00112F64">
        <w:t>grass fires at the top, followed by domestic and commercial fires, then rubbish and industrial/home-industries fires</w:t>
      </w:r>
      <w:r w:rsidR="00044B1B">
        <w:t xml:space="preserve"> </w:t>
      </w:r>
      <w:r w:rsidRPr="00112F64">
        <w:t xml:space="preserve">highlights where prevention and intervention efforts might </w:t>
      </w:r>
      <w:r w:rsidRPr="00112F64">
        <w:lastRenderedPageBreak/>
        <w:t>yield the greatest return. Future research should therefore address environmental drivers, human behaviors, infrastructure reliability, and governance mechanisms in an integrated framework.</w:t>
      </w:r>
    </w:p>
    <w:p w14:paraId="6DEFA6C2" w14:textId="26C29AB1" w:rsidR="00112F64" w:rsidRPr="00112F64" w:rsidRDefault="00112F64" w:rsidP="002B358B">
      <w:pPr>
        <w:spacing w:line="360" w:lineRule="auto"/>
        <w:jc w:val="both"/>
      </w:pPr>
      <w:r w:rsidRPr="00112F64">
        <w:t xml:space="preserve">The research agenda for mitigating urban fire risk, particularly in contexts like Harare where grass fires dominate but domestic and commercial fires are also significant, should be framed as an integrated, multi-stakeholder effort that combines climate science, land-use planning, building safety, governance, and community engagement. First, it is essential to investigate how dry spells, heat indices, wind, and seasonal climate variability correlate with grass-fire incidence, while examining lag effects to identify windows for early warnings and pre-emptive actions. This climate- and weather-driven understanding should be complemented by studies on land clearance, composting, and cultivation practices near urban interfaces, culminating in proposals for safer cultivation methods, zoning considerations, and community guidelines designed to minimize ignition risk. Parallel research on building and domestic fire safety should scrutinize factors such as building age, wiring quality, electrical load, the presence of safety devices (like smoke alarms and automatic shutoffs), and passive fire protections, with findings aimed at prioritizing retrofit programs that improve resilience. To maximize impact, multi-stakeholder intervention packages should test and evaluate combined strategies addressing outdoor-space management, domestic and commercial safety, waste management, and reporting improvements, while always considering cost-effectiveness. A critical component is comparing the return on investment of grass-fire prevention measures against other fire-risk categories to guide resource </w:t>
      </w:r>
      <w:r w:rsidR="00044B1B" w:rsidRPr="00112F64">
        <w:t>allocation and</w:t>
      </w:r>
      <w:r w:rsidRPr="00112F64">
        <w:t xml:space="preserve"> developing participatory approaches that empower residents at the urban–wildland interface to contribute to vegetation management and household safety practices. Governance and enforcement analyses must scrutinize how fire bylaws, vegetation-management policies, and waste-disposal regulations are funded, implemented, and enforced, recognizing that Harare’s hierarchical urban fire hazards—predominantly grass fires, followed by domestic and commercial fires—inform a prioritized research agenda. By weaving together environmental science, behavioural insights, infrastructure reliability, waste management, and governance analyses, future research can yield targeted, cost-effective prevention and response strategies that reduce urban fire risk and build resilience in Harare-like city contexts through an evidence-based, multi-stakeholder approach.</w:t>
      </w:r>
    </w:p>
    <w:p w14:paraId="1DDD627B" w14:textId="77777777" w:rsidR="00112F64" w:rsidRPr="00112F64" w:rsidRDefault="00112F64" w:rsidP="00394501">
      <w:pPr>
        <w:pStyle w:val="Heading2"/>
      </w:pPr>
      <w:bookmarkStart w:id="132" w:name="_Toc215652952"/>
      <w:r w:rsidRPr="00112F64">
        <w:t>5.8 Conclusion</w:t>
      </w:r>
      <w:bookmarkEnd w:id="132"/>
    </w:p>
    <w:p w14:paraId="5117D8C8" w14:textId="35613F1D" w:rsidR="00112F64" w:rsidRPr="00112F64" w:rsidRDefault="00112F64" w:rsidP="002B358B">
      <w:pPr>
        <w:spacing w:line="360" w:lineRule="auto"/>
        <w:jc w:val="both"/>
      </w:pPr>
      <w:r w:rsidRPr="00112F64">
        <w:t>Fire hazards in urban areas represent a complex, multi-faceted risk that affects residents, property, and the environment. In Harare City, the dominant drivers</w:t>
      </w:r>
      <w:r w:rsidR="00044B1B">
        <w:t xml:space="preserve"> </w:t>
      </w:r>
      <w:r w:rsidRPr="00112F64">
        <w:t xml:space="preserve">electrical faults, waste management </w:t>
      </w:r>
      <w:r w:rsidRPr="00112F64">
        <w:lastRenderedPageBreak/>
        <w:t>practices, and human factors</w:t>
      </w:r>
      <w:r w:rsidR="00044B1B">
        <w:t xml:space="preserve"> </w:t>
      </w:r>
      <w:r w:rsidRPr="00112F64">
        <w:t>demonstrate the need for an integrated approach combining prevention, preparedness, and rapid response. Across the seven fire categories, common themes emerge: the interplay between infrastructure and behavior, the importance of proactive urban planning, and the critical role of governance and community engagement. The research’s findings support targeted recommendations to strengthen fire safety, reduce risk, and enhance urban resilience in Harare and similar urban contexts.</w:t>
      </w:r>
    </w:p>
    <w:p w14:paraId="35448D3E" w14:textId="77777777" w:rsidR="00112F64" w:rsidRDefault="00112F64" w:rsidP="002B358B">
      <w:pPr>
        <w:spacing w:line="360" w:lineRule="auto"/>
        <w:jc w:val="both"/>
        <w:rPr>
          <w:b/>
          <w:bCs/>
          <w:color w:val="222222"/>
          <w:shd w:val="clear" w:color="auto" w:fill="FFFFFF"/>
        </w:rPr>
      </w:pPr>
    </w:p>
    <w:p w14:paraId="5ADD07D0" w14:textId="77777777" w:rsidR="00112F64" w:rsidRDefault="00112F64" w:rsidP="002B358B">
      <w:pPr>
        <w:spacing w:line="360" w:lineRule="auto"/>
        <w:jc w:val="both"/>
        <w:rPr>
          <w:b/>
          <w:bCs/>
          <w:color w:val="222222"/>
          <w:shd w:val="clear" w:color="auto" w:fill="FFFFFF"/>
        </w:rPr>
      </w:pPr>
    </w:p>
    <w:p w14:paraId="43B29864" w14:textId="77777777" w:rsidR="00112F64" w:rsidRDefault="00112F64" w:rsidP="002B358B">
      <w:pPr>
        <w:spacing w:line="360" w:lineRule="auto"/>
        <w:jc w:val="both"/>
        <w:rPr>
          <w:b/>
          <w:bCs/>
          <w:color w:val="222222"/>
          <w:shd w:val="clear" w:color="auto" w:fill="FFFFFF"/>
        </w:rPr>
      </w:pPr>
    </w:p>
    <w:p w14:paraId="22ECB93D" w14:textId="77777777" w:rsidR="005868F2" w:rsidRDefault="005868F2" w:rsidP="002B358B">
      <w:pPr>
        <w:spacing w:line="360" w:lineRule="auto"/>
        <w:jc w:val="both"/>
        <w:rPr>
          <w:b/>
          <w:bCs/>
          <w:color w:val="222222"/>
          <w:shd w:val="clear" w:color="auto" w:fill="FFFFFF"/>
        </w:rPr>
      </w:pPr>
    </w:p>
    <w:p w14:paraId="6BE2E7AC" w14:textId="77777777" w:rsidR="005868F2" w:rsidRDefault="005868F2" w:rsidP="002B358B">
      <w:pPr>
        <w:spacing w:line="360" w:lineRule="auto"/>
        <w:jc w:val="both"/>
        <w:rPr>
          <w:b/>
          <w:bCs/>
          <w:color w:val="222222"/>
          <w:shd w:val="clear" w:color="auto" w:fill="FFFFFF"/>
        </w:rPr>
      </w:pPr>
    </w:p>
    <w:p w14:paraId="492EA2E5" w14:textId="77777777" w:rsidR="005868F2" w:rsidRDefault="005868F2" w:rsidP="002B358B">
      <w:pPr>
        <w:spacing w:line="360" w:lineRule="auto"/>
        <w:jc w:val="both"/>
        <w:rPr>
          <w:b/>
          <w:bCs/>
          <w:color w:val="222222"/>
          <w:shd w:val="clear" w:color="auto" w:fill="FFFFFF"/>
        </w:rPr>
      </w:pPr>
    </w:p>
    <w:p w14:paraId="3E39C506" w14:textId="77777777" w:rsidR="005868F2" w:rsidRDefault="005868F2" w:rsidP="002B358B">
      <w:pPr>
        <w:spacing w:line="360" w:lineRule="auto"/>
        <w:jc w:val="both"/>
        <w:rPr>
          <w:b/>
          <w:bCs/>
          <w:color w:val="222222"/>
          <w:shd w:val="clear" w:color="auto" w:fill="FFFFFF"/>
        </w:rPr>
      </w:pPr>
    </w:p>
    <w:p w14:paraId="77B7AEB5" w14:textId="77777777" w:rsidR="005868F2" w:rsidRDefault="005868F2" w:rsidP="002B358B">
      <w:pPr>
        <w:spacing w:line="360" w:lineRule="auto"/>
        <w:jc w:val="both"/>
        <w:rPr>
          <w:b/>
          <w:bCs/>
          <w:color w:val="222222"/>
          <w:shd w:val="clear" w:color="auto" w:fill="FFFFFF"/>
        </w:rPr>
      </w:pPr>
    </w:p>
    <w:p w14:paraId="1AE4512B" w14:textId="6C819EB6" w:rsidR="00112F64" w:rsidRPr="00112F64" w:rsidRDefault="00112F64" w:rsidP="006C3EB9">
      <w:pPr>
        <w:pStyle w:val="Heading1"/>
        <w:rPr>
          <w:shd w:val="clear" w:color="auto" w:fill="FFFFFF"/>
        </w:rPr>
      </w:pPr>
      <w:bookmarkStart w:id="133" w:name="_Toc215652953"/>
      <w:r w:rsidRPr="00112F64">
        <w:rPr>
          <w:shd w:val="clear" w:color="auto" w:fill="FFFFFF"/>
        </w:rPr>
        <w:t>References</w:t>
      </w:r>
      <w:bookmarkEnd w:id="133"/>
    </w:p>
    <w:p w14:paraId="4D5FE5BA" w14:textId="68D0B523" w:rsidR="00112F64" w:rsidRPr="00BE2000" w:rsidRDefault="00112F64" w:rsidP="002B358B">
      <w:pPr>
        <w:spacing w:line="360" w:lineRule="auto"/>
        <w:ind w:left="567" w:hanging="567"/>
        <w:jc w:val="both"/>
        <w:rPr>
          <w:color w:val="000000" w:themeColor="text1"/>
        </w:rPr>
      </w:pPr>
      <w:bookmarkStart w:id="134" w:name="_Hlk212737825"/>
      <w:r w:rsidRPr="00BE2000">
        <w:rPr>
          <w:color w:val="000000" w:themeColor="text1"/>
        </w:rPr>
        <w:t>Abrar</w:t>
      </w:r>
      <w:bookmarkEnd w:id="134"/>
      <w:r w:rsidRPr="00BE2000">
        <w:rPr>
          <w:color w:val="000000" w:themeColor="text1"/>
        </w:rPr>
        <w:t xml:space="preserve">, A., Kamal, A. S. M., Hasan, S. M., &amp; Kabir, M. (2025). Economic damage and loss assessment </w:t>
      </w:r>
      <w:r w:rsidR="00044B1B" w:rsidRPr="00BE2000">
        <w:rPr>
          <w:color w:val="000000" w:themeColor="text1"/>
        </w:rPr>
        <w:t>of</w:t>
      </w:r>
      <w:r w:rsidRPr="00BE2000">
        <w:rPr>
          <w:color w:val="000000" w:themeColor="text1"/>
        </w:rPr>
        <w:t xml:space="preserve"> neighboring households from the 2022 Sitakunda fire event explosion shock waves. </w:t>
      </w:r>
      <w:r w:rsidRPr="00BE2000">
        <w:rPr>
          <w:i/>
          <w:iCs/>
          <w:color w:val="000000" w:themeColor="text1"/>
        </w:rPr>
        <w:t>Discover Applied Sciences</w:t>
      </w:r>
      <w:r w:rsidRPr="00BE2000">
        <w:rPr>
          <w:color w:val="000000" w:themeColor="text1"/>
        </w:rPr>
        <w:t>, </w:t>
      </w:r>
      <w:r w:rsidRPr="00BE2000">
        <w:rPr>
          <w:i/>
          <w:iCs/>
          <w:color w:val="000000" w:themeColor="text1"/>
        </w:rPr>
        <w:t>7</w:t>
      </w:r>
      <w:r w:rsidRPr="00BE2000">
        <w:rPr>
          <w:color w:val="000000" w:themeColor="text1"/>
        </w:rPr>
        <w:t>(3), 1-22.</w:t>
      </w:r>
    </w:p>
    <w:p w14:paraId="72FCF1E6"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Adiba, M. A. (2023). Cause of repetitive fire disaster in informal settlements and the importance of community-based disaster risk mitigation (Doctoral dissertation, Brac University).</w:t>
      </w:r>
    </w:p>
    <w:p w14:paraId="6CD902E2"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Agyemang, E., Anderson, B., Patiño, J., &amp; Tremolieres, M. (2024). Toward achieving smart cities in Africa: challenges to data use and the way forward. Data &amp; Policy, 6, e13.</w:t>
      </w:r>
    </w:p>
    <w:p w14:paraId="5C507B88"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Alayan, R. A. (2024). A Comprehensive Approach for Forest Fires Restoration and its implementation in the Spatial Decision Support Systems (Doctoral dissertation, Magyar Agrár-és Élettudományi Egyetem).</w:t>
      </w:r>
    </w:p>
    <w:p w14:paraId="169FEBBF" w14:textId="77777777" w:rsidR="00112F64" w:rsidRPr="00BE2000" w:rsidRDefault="00112F64" w:rsidP="002B358B">
      <w:pPr>
        <w:spacing w:line="360" w:lineRule="auto"/>
        <w:ind w:left="567" w:hanging="567"/>
        <w:jc w:val="both"/>
        <w:rPr>
          <w:color w:val="000000" w:themeColor="text1"/>
        </w:rPr>
      </w:pPr>
      <w:bookmarkStart w:id="135" w:name="_Hlk212749916"/>
      <w:r w:rsidRPr="00BE2000">
        <w:rPr>
          <w:color w:val="000000" w:themeColor="text1"/>
        </w:rPr>
        <w:t>Alkış,</w:t>
      </w:r>
      <w:bookmarkEnd w:id="135"/>
      <w:r w:rsidRPr="00BE2000">
        <w:rPr>
          <w:color w:val="000000" w:themeColor="text1"/>
        </w:rPr>
        <w:t xml:space="preserve"> S., Aksoy, E., &amp; Akpınar, K. (2021). Risk assessment of industrial fires for surrounding vulnerable facilities using a multi-criteria decision support approach and GIS. </w:t>
      </w:r>
      <w:r w:rsidRPr="00BE2000">
        <w:rPr>
          <w:i/>
          <w:iCs/>
          <w:color w:val="000000" w:themeColor="text1"/>
        </w:rPr>
        <w:t>Fire</w:t>
      </w:r>
      <w:r w:rsidRPr="00BE2000">
        <w:rPr>
          <w:color w:val="000000" w:themeColor="text1"/>
        </w:rPr>
        <w:t>, </w:t>
      </w:r>
      <w:r w:rsidRPr="00BE2000">
        <w:rPr>
          <w:i/>
          <w:iCs/>
          <w:color w:val="000000" w:themeColor="text1"/>
        </w:rPr>
        <w:t>4</w:t>
      </w:r>
      <w:r w:rsidRPr="00BE2000">
        <w:rPr>
          <w:color w:val="000000" w:themeColor="text1"/>
        </w:rPr>
        <w:t>(3), 53.</w:t>
      </w:r>
    </w:p>
    <w:p w14:paraId="1023C1FA" w14:textId="77777777" w:rsidR="00112F64" w:rsidRPr="00BE2000" w:rsidRDefault="00112F64" w:rsidP="002B358B">
      <w:pPr>
        <w:spacing w:line="360" w:lineRule="auto"/>
        <w:ind w:left="567" w:hanging="567"/>
        <w:jc w:val="both"/>
        <w:rPr>
          <w:color w:val="000000" w:themeColor="text1"/>
        </w:rPr>
      </w:pPr>
      <w:bookmarkStart w:id="136" w:name="_Hlk212922874"/>
      <w:r w:rsidRPr="00BE2000">
        <w:rPr>
          <w:color w:val="000000" w:themeColor="text1"/>
        </w:rPr>
        <w:t xml:space="preserve">Antonescu, D., &amp; Florescu, C. I. (2025). </w:t>
      </w:r>
      <w:bookmarkEnd w:id="136"/>
      <w:r w:rsidRPr="00BE2000">
        <w:rPr>
          <w:color w:val="000000" w:themeColor="text1"/>
        </w:rPr>
        <w:t>Theoretical approaches to urban resilience. Eastern European Journal for Regional Studies (EEJRS), 118-143.</w:t>
      </w:r>
    </w:p>
    <w:p w14:paraId="46D54127"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lastRenderedPageBreak/>
        <w:t>Arcaya, M., Raker, E. J., &amp; Waters, M. C. (2020). The social consequences of disasters: Individual and community change. </w:t>
      </w:r>
      <w:r w:rsidRPr="00BE2000">
        <w:rPr>
          <w:i/>
          <w:iCs/>
          <w:color w:val="000000" w:themeColor="text1"/>
        </w:rPr>
        <w:t>Annual Review of Sociology</w:t>
      </w:r>
      <w:r w:rsidRPr="00BE2000">
        <w:rPr>
          <w:color w:val="000000" w:themeColor="text1"/>
        </w:rPr>
        <w:t>, </w:t>
      </w:r>
      <w:r w:rsidRPr="00BE2000">
        <w:rPr>
          <w:i/>
          <w:iCs/>
          <w:color w:val="000000" w:themeColor="text1"/>
        </w:rPr>
        <w:t>46</w:t>
      </w:r>
      <w:r w:rsidRPr="00BE2000">
        <w:rPr>
          <w:color w:val="000000" w:themeColor="text1"/>
        </w:rPr>
        <w:t>(1), 671-691.</w:t>
      </w:r>
    </w:p>
    <w:p w14:paraId="7E314AE2" w14:textId="3C35E133"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Auditor-General (2017), REPORT of the </w:t>
      </w:r>
      <w:bookmarkStart w:id="137" w:name="_Hlk212924383"/>
      <w:r w:rsidRPr="00BE2000">
        <w:rPr>
          <w:color w:val="000000" w:themeColor="text1"/>
        </w:rPr>
        <w:t xml:space="preserve">Auditor-General </w:t>
      </w:r>
      <w:bookmarkEnd w:id="137"/>
      <w:r w:rsidRPr="00BE2000">
        <w:rPr>
          <w:color w:val="000000" w:themeColor="text1"/>
        </w:rPr>
        <w:t xml:space="preserve">for the FINANCIAL YEAR ENDED DECEMBER 31, </w:t>
      </w:r>
      <w:r w:rsidR="00044B1B" w:rsidRPr="00BE2000">
        <w:rPr>
          <w:color w:val="000000" w:themeColor="text1"/>
        </w:rPr>
        <w:t>2017,</w:t>
      </w:r>
      <w:r w:rsidRPr="00BE2000">
        <w:rPr>
          <w:color w:val="000000" w:themeColor="text1"/>
        </w:rPr>
        <w:t xml:space="preserve"> ON LOCAL AUTHORITIES</w:t>
      </w:r>
    </w:p>
    <w:p w14:paraId="4412B883" w14:textId="77777777" w:rsidR="00112F64" w:rsidRPr="00BE2000" w:rsidRDefault="00112F64" w:rsidP="002B358B">
      <w:pPr>
        <w:spacing w:line="360" w:lineRule="auto"/>
        <w:ind w:left="567" w:hanging="567"/>
        <w:jc w:val="both"/>
        <w:rPr>
          <w:color w:val="000000" w:themeColor="text1"/>
        </w:rPr>
      </w:pPr>
      <w:bookmarkStart w:id="138" w:name="_Hlk212907683"/>
      <w:r w:rsidRPr="00197F1F">
        <w:rPr>
          <w:color w:val="000000" w:themeColor="text1"/>
          <w:lang w:val="it-IT"/>
        </w:rPr>
        <w:t>Bacciu</w:t>
      </w:r>
      <w:bookmarkEnd w:id="138"/>
      <w:r w:rsidRPr="00197F1F">
        <w:rPr>
          <w:color w:val="000000" w:themeColor="text1"/>
          <w:lang w:val="it-IT"/>
        </w:rPr>
        <w:t xml:space="preserve">, V., Sirca, C., &amp; Spano, D. (2022). </w:t>
      </w:r>
      <w:r w:rsidRPr="00BE2000">
        <w:rPr>
          <w:color w:val="000000" w:themeColor="text1"/>
        </w:rPr>
        <w:t>Towards a systemic approach to fire risk management. Environmental Science &amp; Policy, 129, 37-44.</w:t>
      </w:r>
    </w:p>
    <w:p w14:paraId="1D3D4F89" w14:textId="77777777" w:rsidR="00112F64" w:rsidRPr="00197F1F" w:rsidRDefault="00112F64" w:rsidP="002B358B">
      <w:pPr>
        <w:spacing w:line="360" w:lineRule="auto"/>
        <w:ind w:left="567" w:hanging="567"/>
        <w:jc w:val="both"/>
        <w:rPr>
          <w:color w:val="000000" w:themeColor="text1"/>
          <w:lang w:val="it-IT"/>
        </w:rPr>
      </w:pPr>
      <w:r w:rsidRPr="00BE2000">
        <w:rPr>
          <w:color w:val="000000" w:themeColor="text1"/>
        </w:rPr>
        <w:t xml:space="preserve">Bandauko, E. (2021). Building urban resilience in the post-2015 development agenda: a case study of Harare, Zimbabwe. In Resilience and Sustainability in Urban Africa: Context, Facets and Alternatives in Zimbabwe (pp. 87-101). </w:t>
      </w:r>
      <w:r w:rsidRPr="00197F1F">
        <w:rPr>
          <w:color w:val="000000" w:themeColor="text1"/>
          <w:lang w:val="it-IT"/>
        </w:rPr>
        <w:t>Singapore: Springer Singapore.</w:t>
      </w:r>
    </w:p>
    <w:p w14:paraId="5420FB5B" w14:textId="77777777" w:rsidR="00112F64" w:rsidRPr="00BE2000" w:rsidRDefault="00112F64" w:rsidP="002B358B">
      <w:pPr>
        <w:spacing w:line="360" w:lineRule="auto"/>
        <w:ind w:left="567" w:hanging="567"/>
        <w:jc w:val="both"/>
        <w:rPr>
          <w:color w:val="000000" w:themeColor="text1"/>
        </w:rPr>
      </w:pPr>
      <w:r w:rsidRPr="00197F1F">
        <w:rPr>
          <w:color w:val="000000" w:themeColor="text1"/>
          <w:lang w:val="it-IT"/>
        </w:rPr>
        <w:t xml:space="preserve">Bhanye, J. I., Mangara, F., Matamanda, A. R., &amp; Kachena, L. (2023). </w:t>
      </w:r>
      <w:r w:rsidRPr="00BE2000">
        <w:rPr>
          <w:color w:val="000000" w:themeColor="text1"/>
        </w:rPr>
        <w:t>Contextualizing Harare Urban Socioeconomic Profile and History of Pandemics in the City. In COVID-19 Lockdowns and the Urban Poor in Harare, Zimbabwe: Emerging Perspectives and the Morphing of a Sustainable Urban Future (pp. 23-64). Cham: Springer Nature Switzerland.</w:t>
      </w:r>
    </w:p>
    <w:p w14:paraId="1057C1EE" w14:textId="77777777" w:rsidR="00112F64" w:rsidRDefault="00112F64" w:rsidP="002B358B">
      <w:pPr>
        <w:spacing w:line="360" w:lineRule="auto"/>
        <w:ind w:left="567" w:hanging="567"/>
        <w:jc w:val="both"/>
        <w:rPr>
          <w:color w:val="222222"/>
          <w:shd w:val="clear" w:color="auto" w:fill="FFFFFF"/>
        </w:rPr>
      </w:pPr>
      <w:r w:rsidRPr="00112F64">
        <w:t>Bowman, D. M., Kolden, C. A., Abatzoglou, J. T., Johnston, F. H., van der Werf, G. R., &amp; Flannigan, M. (2020). Vegetation fires in the Anthropocene. </w:t>
      </w:r>
      <w:r w:rsidRPr="00112F64">
        <w:rPr>
          <w:i/>
          <w:iCs/>
        </w:rPr>
        <w:t>Nature Reviews Earth &amp; Environment</w:t>
      </w:r>
      <w:r w:rsidRPr="00112F64">
        <w:t>, </w:t>
      </w:r>
      <w:r w:rsidRPr="00112F64">
        <w:rPr>
          <w:i/>
          <w:iCs/>
        </w:rPr>
        <w:t>1</w:t>
      </w:r>
      <w:r w:rsidRPr="00112F64">
        <w:t>(10), 500-515.</w:t>
      </w:r>
    </w:p>
    <w:p w14:paraId="11B78235"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Braun, V., &amp; Clarke, V. (2023). Toward good practice in thematic analysis: Avoiding common problems and be (com) ing a knowing researcher. </w:t>
      </w:r>
      <w:r w:rsidRPr="00BE2000">
        <w:rPr>
          <w:i/>
          <w:iCs/>
          <w:color w:val="000000" w:themeColor="text1"/>
        </w:rPr>
        <w:t>International journal of transgender health</w:t>
      </w:r>
      <w:r w:rsidRPr="00BE2000">
        <w:rPr>
          <w:color w:val="000000" w:themeColor="text1"/>
        </w:rPr>
        <w:t>, </w:t>
      </w:r>
      <w:r w:rsidRPr="00BE2000">
        <w:rPr>
          <w:i/>
          <w:iCs/>
          <w:color w:val="000000" w:themeColor="text1"/>
        </w:rPr>
        <w:t>24</w:t>
      </w:r>
      <w:r w:rsidRPr="00BE2000">
        <w:rPr>
          <w:color w:val="000000" w:themeColor="text1"/>
        </w:rPr>
        <w:t>(1), 1-6.</w:t>
      </w:r>
    </w:p>
    <w:p w14:paraId="480AEE51" w14:textId="77777777" w:rsidR="00112F64" w:rsidRPr="00BE2000" w:rsidRDefault="00112F64" w:rsidP="002B358B">
      <w:pPr>
        <w:spacing w:line="360" w:lineRule="auto"/>
        <w:ind w:left="567" w:hanging="567"/>
        <w:jc w:val="both"/>
        <w:rPr>
          <w:color w:val="000000" w:themeColor="text1"/>
        </w:rPr>
      </w:pPr>
      <w:bookmarkStart w:id="139" w:name="_Hlk212832070"/>
      <w:r w:rsidRPr="00BE2000">
        <w:rPr>
          <w:color w:val="000000" w:themeColor="text1"/>
        </w:rPr>
        <w:t>Chas-Amil</w:t>
      </w:r>
      <w:bookmarkEnd w:id="139"/>
      <w:r w:rsidRPr="00BE2000">
        <w:rPr>
          <w:color w:val="000000" w:themeColor="text1"/>
        </w:rPr>
        <w:t>, Marisa &amp; Touza, Julia &amp; García, Eduardo. (2013). Forest fires in the wildland-urban interface: A spatial analysis of forest fragmentation and human impacts. Applied Geography. 43. 127-137. 10.1016/j.apgeog.2013.06.010.</w:t>
      </w:r>
    </w:p>
    <w:p w14:paraId="666562B4" w14:textId="77777777" w:rsidR="00112F64" w:rsidRPr="00BE2000" w:rsidRDefault="00112F64" w:rsidP="002B358B">
      <w:pPr>
        <w:spacing w:line="360" w:lineRule="auto"/>
        <w:ind w:left="567" w:hanging="567"/>
        <w:jc w:val="both"/>
        <w:rPr>
          <w:color w:val="000000" w:themeColor="text1"/>
        </w:rPr>
      </w:pPr>
      <w:bookmarkStart w:id="140" w:name="_Hlk212904823"/>
      <w:r w:rsidRPr="00BE2000">
        <w:rPr>
          <w:color w:val="000000" w:themeColor="text1"/>
        </w:rPr>
        <w:t>Chatikobo</w:t>
      </w:r>
      <w:bookmarkEnd w:id="140"/>
      <w:r w:rsidRPr="00BE2000">
        <w:rPr>
          <w:color w:val="000000" w:themeColor="text1"/>
        </w:rPr>
        <w:t xml:space="preserve">, I (January 26, 2024) Importance of building by-laws, legal documents. </w:t>
      </w:r>
      <w:hyperlink r:id="rId22" w:history="1">
        <w:r w:rsidRPr="00BE2000">
          <w:rPr>
            <w:rStyle w:val="Hyperlink"/>
            <w:color w:val="000000" w:themeColor="text1"/>
          </w:rPr>
          <w:t>https://www.heraldonline.co.zw/importance-of-building-by-laws-legal-documents/</w:t>
        </w:r>
      </w:hyperlink>
    </w:p>
    <w:p w14:paraId="5A8885F4" w14:textId="77777777" w:rsidR="00112F64" w:rsidRPr="00BE2000" w:rsidRDefault="00112F64" w:rsidP="002B358B">
      <w:pPr>
        <w:spacing w:line="360" w:lineRule="auto"/>
        <w:ind w:left="567" w:hanging="567"/>
        <w:jc w:val="both"/>
        <w:rPr>
          <w:color w:val="000000" w:themeColor="text1"/>
        </w:rPr>
      </w:pPr>
      <w:bookmarkStart w:id="141" w:name="_Hlk212777111"/>
      <w:r w:rsidRPr="00BE2000">
        <w:rPr>
          <w:color w:val="000000" w:themeColor="text1"/>
        </w:rPr>
        <w:t>Chavan</w:t>
      </w:r>
      <w:bookmarkEnd w:id="141"/>
      <w:r w:rsidRPr="00BE2000">
        <w:rPr>
          <w:color w:val="000000" w:themeColor="text1"/>
        </w:rPr>
        <w:t>, D., Arya, S., &amp; Kumar, S. (2022). Open dumping of organic waste: Associated fire, environmental pollution and health hazards. In </w:t>
      </w:r>
      <w:r w:rsidRPr="00BE2000">
        <w:rPr>
          <w:i/>
          <w:iCs/>
          <w:color w:val="000000" w:themeColor="text1"/>
        </w:rPr>
        <w:t>Advanced organic waste management</w:t>
      </w:r>
      <w:r w:rsidRPr="00BE2000">
        <w:rPr>
          <w:color w:val="000000" w:themeColor="text1"/>
        </w:rPr>
        <w:t> (pp. 15-31). Elsevier.</w:t>
      </w:r>
    </w:p>
    <w:p w14:paraId="4287D76E" w14:textId="77777777" w:rsidR="00112F64" w:rsidRPr="00BE2000" w:rsidRDefault="00112F64" w:rsidP="002B358B">
      <w:pPr>
        <w:spacing w:line="360" w:lineRule="auto"/>
        <w:ind w:left="567" w:hanging="567"/>
        <w:jc w:val="both"/>
        <w:rPr>
          <w:color w:val="000000" w:themeColor="text1"/>
        </w:rPr>
      </w:pPr>
      <w:bookmarkStart w:id="142" w:name="_Hlk212903428"/>
      <w:r w:rsidRPr="00BE2000">
        <w:rPr>
          <w:color w:val="000000" w:themeColor="text1"/>
        </w:rPr>
        <w:t>Chirisa, I. (2014)</w:t>
      </w:r>
      <w:bookmarkEnd w:id="142"/>
      <w:r w:rsidRPr="00BE2000">
        <w:rPr>
          <w:color w:val="000000" w:themeColor="text1"/>
        </w:rPr>
        <w:t>. Building and Urban Planning in Zimbabwe with Special Reference to Harare: Putting Needs, Costs and Sustainability in Focus. Consilience: The Journal of Sustainable Development. 11. 1-26.</w:t>
      </w:r>
    </w:p>
    <w:p w14:paraId="70605F1D" w14:textId="77777777" w:rsidR="00112F64" w:rsidRPr="00BE2000" w:rsidRDefault="00112F64" w:rsidP="002B358B">
      <w:pPr>
        <w:spacing w:line="360" w:lineRule="auto"/>
        <w:ind w:left="567" w:hanging="567"/>
        <w:jc w:val="both"/>
        <w:rPr>
          <w:color w:val="000000" w:themeColor="text1"/>
        </w:rPr>
      </w:pPr>
      <w:bookmarkStart w:id="143" w:name="_Hlk212750394"/>
      <w:r w:rsidRPr="00BE2000">
        <w:rPr>
          <w:color w:val="000000" w:themeColor="text1"/>
        </w:rPr>
        <w:lastRenderedPageBreak/>
        <w:t>Cvetković</w:t>
      </w:r>
      <w:bookmarkEnd w:id="143"/>
      <w:r w:rsidRPr="00BE2000">
        <w:rPr>
          <w:color w:val="000000" w:themeColor="text1"/>
        </w:rPr>
        <w:t>, V. M., Renner, R., &amp; Jakovljević, V. (2024). Industrial disasters and hazards: From causes to consequences—A holistic approach to resilience. </w:t>
      </w:r>
      <w:r w:rsidRPr="00BE2000">
        <w:rPr>
          <w:i/>
          <w:iCs/>
          <w:color w:val="000000" w:themeColor="text1"/>
        </w:rPr>
        <w:t>International Journal of Disaster Risk Management</w:t>
      </w:r>
      <w:r w:rsidRPr="00BE2000">
        <w:rPr>
          <w:color w:val="000000" w:themeColor="text1"/>
        </w:rPr>
        <w:t>, </w:t>
      </w:r>
      <w:r w:rsidRPr="00BE2000">
        <w:rPr>
          <w:i/>
          <w:iCs/>
          <w:color w:val="000000" w:themeColor="text1"/>
        </w:rPr>
        <w:t>6</w:t>
      </w:r>
      <w:r w:rsidRPr="00BE2000">
        <w:rPr>
          <w:color w:val="000000" w:themeColor="text1"/>
        </w:rPr>
        <w:t>(2), 149-168.</w:t>
      </w:r>
    </w:p>
    <w:p w14:paraId="3C2DD8AA" w14:textId="77777777" w:rsidR="00112F64" w:rsidRPr="00BE2000" w:rsidRDefault="00112F64" w:rsidP="002B358B">
      <w:pPr>
        <w:spacing w:line="360" w:lineRule="auto"/>
        <w:ind w:left="567" w:hanging="567"/>
        <w:jc w:val="both"/>
        <w:rPr>
          <w:color w:val="000000" w:themeColor="text1"/>
        </w:rPr>
      </w:pPr>
      <w:bookmarkStart w:id="144" w:name="_Hlk212777258"/>
      <w:r w:rsidRPr="00BE2000">
        <w:rPr>
          <w:color w:val="000000" w:themeColor="text1"/>
        </w:rPr>
        <w:t>Dabrowska</w:t>
      </w:r>
      <w:bookmarkEnd w:id="144"/>
      <w:r w:rsidRPr="00BE2000">
        <w:rPr>
          <w:color w:val="000000" w:themeColor="text1"/>
        </w:rPr>
        <w:t>, D., Rykala, W., &amp; Nourani, V. (2023). Causes, types and consequences of municipal waste landfill fires—literature review. </w:t>
      </w:r>
      <w:r w:rsidRPr="00BE2000">
        <w:rPr>
          <w:i/>
          <w:iCs/>
          <w:color w:val="000000" w:themeColor="text1"/>
        </w:rPr>
        <w:t>Sustainability</w:t>
      </w:r>
      <w:r w:rsidRPr="00BE2000">
        <w:rPr>
          <w:color w:val="000000" w:themeColor="text1"/>
        </w:rPr>
        <w:t>, </w:t>
      </w:r>
      <w:r w:rsidRPr="00BE2000">
        <w:rPr>
          <w:i/>
          <w:iCs/>
          <w:color w:val="000000" w:themeColor="text1"/>
        </w:rPr>
        <w:t>15</w:t>
      </w:r>
      <w:r w:rsidRPr="00BE2000">
        <w:rPr>
          <w:color w:val="000000" w:themeColor="text1"/>
        </w:rPr>
        <w:t>(7), 5713.</w:t>
      </w:r>
    </w:p>
    <w:p w14:paraId="45DDD8C9" w14:textId="77777777" w:rsidR="00112F64" w:rsidRDefault="00112F64" w:rsidP="002B358B">
      <w:pPr>
        <w:spacing w:line="360" w:lineRule="auto"/>
        <w:ind w:left="567" w:hanging="567"/>
        <w:jc w:val="both"/>
        <w:rPr>
          <w:color w:val="222222"/>
          <w:shd w:val="clear" w:color="auto" w:fill="FFFFFF"/>
        </w:rPr>
      </w:pPr>
      <w:r w:rsidRPr="00112F64">
        <w:t>Davis, M. (2022). </w:t>
      </w:r>
      <w:r w:rsidRPr="00112F64">
        <w:rPr>
          <w:i/>
          <w:iCs/>
        </w:rPr>
        <w:t>Ecology of fear: Los Angeles and the imagination of disaster</w:t>
      </w:r>
      <w:r w:rsidRPr="00112F64">
        <w:t>. Verso Books.</w:t>
      </w:r>
    </w:p>
    <w:p w14:paraId="6AD2677D"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Dewan, A. M. (2013). Hazards, risk, and vulnerability. In Floods in a megacity: Geospatial techniques in assessing hazards, risk and vulnerability (pp. 35-74). Dordrecht: Springer Netherlands.</w:t>
      </w:r>
    </w:p>
    <w:p w14:paraId="24D929C3"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Fan, H., Yang, X., Zhao, C., Yang, Y., &amp; Shen, Z. (2023). Spatiotemporal variation characteristics of global fires and their emissions. Atmospheric Chemistry and Physics, 23(13), 7781-7798.</w:t>
      </w:r>
    </w:p>
    <w:p w14:paraId="3A23E15A" w14:textId="77777777" w:rsidR="00112F64" w:rsidRPr="00BE2000" w:rsidRDefault="00112F64" w:rsidP="002B358B">
      <w:pPr>
        <w:spacing w:line="360" w:lineRule="auto"/>
        <w:ind w:left="567" w:hanging="567"/>
        <w:jc w:val="both"/>
        <w:rPr>
          <w:color w:val="000000" w:themeColor="text1"/>
        </w:rPr>
      </w:pPr>
      <w:bookmarkStart w:id="145" w:name="_Hlk212780373"/>
      <w:r w:rsidRPr="00BE2000">
        <w:rPr>
          <w:color w:val="000000" w:themeColor="text1"/>
        </w:rPr>
        <w:t>Fisher,</w:t>
      </w:r>
      <w:bookmarkEnd w:id="145"/>
      <w:r w:rsidRPr="00BE2000">
        <w:rPr>
          <w:color w:val="000000" w:themeColor="text1"/>
        </w:rPr>
        <w:t xml:space="preserve"> R., Petit, F., &amp; Porod, C. (2021). Early warning systems to strengthen the resilience of communities to extreme events. In </w:t>
      </w:r>
      <w:r w:rsidRPr="00BE2000">
        <w:rPr>
          <w:i/>
          <w:iCs/>
          <w:color w:val="000000" w:themeColor="text1"/>
        </w:rPr>
        <w:t>Handbook of disaster risk reduction for resilience: New frameworks for building resilience to disasters</w:t>
      </w:r>
      <w:r w:rsidRPr="00BE2000">
        <w:rPr>
          <w:color w:val="000000" w:themeColor="text1"/>
        </w:rPr>
        <w:t> (pp. 239-259). Cham: Springer International Publishing.</w:t>
      </w:r>
    </w:p>
    <w:p w14:paraId="0D89066D"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Freddy T. (June 5, 2024) The Herald. Harare City receives over 780 fire calls https://www.heraldonline.co.zw/harare-city-receives-over-780-fire-calls/</w:t>
      </w:r>
    </w:p>
    <w:p w14:paraId="5CC83712"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Fu, A. S. (2022). Risky cities: The physical and fiscal nature of disaster capitalism. Rutgers University Press.</w:t>
      </w:r>
    </w:p>
    <w:p w14:paraId="07F5A594" w14:textId="77777777" w:rsidR="00112F64" w:rsidRPr="00BE2000" w:rsidRDefault="00112F64" w:rsidP="002B358B">
      <w:pPr>
        <w:spacing w:line="360" w:lineRule="auto"/>
        <w:ind w:left="567" w:hanging="567"/>
        <w:jc w:val="both"/>
        <w:rPr>
          <w:color w:val="000000" w:themeColor="text1"/>
        </w:rPr>
      </w:pPr>
      <w:bookmarkStart w:id="146" w:name="_Hlk212922724"/>
      <w:r w:rsidRPr="00BE2000">
        <w:rPr>
          <w:color w:val="000000" w:themeColor="text1"/>
        </w:rPr>
        <w:t xml:space="preserve">Galderisi, A., &amp; Limongi, G. (2021). </w:t>
      </w:r>
      <w:bookmarkEnd w:id="146"/>
      <w:r w:rsidRPr="00BE2000">
        <w:rPr>
          <w:color w:val="000000" w:themeColor="text1"/>
        </w:rPr>
        <w:t>A comprehensive assessment of exposure and vulnerabilities in multi-hazard urban environments: A key tool for risk-informed planning strategies. Sustainability, 13(16), 9055.</w:t>
      </w:r>
    </w:p>
    <w:p w14:paraId="75DDD1CA" w14:textId="77777777" w:rsidR="00112F64" w:rsidRDefault="00112F64" w:rsidP="002B358B">
      <w:pPr>
        <w:spacing w:line="360" w:lineRule="auto"/>
        <w:ind w:left="567" w:hanging="567"/>
        <w:jc w:val="both"/>
        <w:rPr>
          <w:color w:val="222222"/>
          <w:shd w:val="clear" w:color="auto" w:fill="FFFFFF"/>
        </w:rPr>
      </w:pPr>
      <w:r w:rsidRPr="00112F64">
        <w:rPr>
          <w:color w:val="222222"/>
          <w:shd w:val="clear" w:color="auto" w:fill="FFFFFF"/>
        </w:rPr>
        <w:t>Ganteaume, A., Barbero, R., Jappiot, M., &amp; Maillé, E. (2021). Understanding future changes to fires in southern Europe and their impacts on the wildland-urban interface. </w:t>
      </w:r>
      <w:r w:rsidRPr="00112F64">
        <w:rPr>
          <w:i/>
          <w:iCs/>
          <w:color w:val="222222"/>
          <w:shd w:val="clear" w:color="auto" w:fill="FFFFFF"/>
        </w:rPr>
        <w:t>Journal of safety science and resilience</w:t>
      </w:r>
      <w:r w:rsidRPr="00112F64">
        <w:rPr>
          <w:color w:val="222222"/>
          <w:shd w:val="clear" w:color="auto" w:fill="FFFFFF"/>
        </w:rPr>
        <w:t>, </w:t>
      </w:r>
      <w:r w:rsidRPr="00112F64">
        <w:rPr>
          <w:i/>
          <w:iCs/>
          <w:color w:val="222222"/>
          <w:shd w:val="clear" w:color="auto" w:fill="FFFFFF"/>
        </w:rPr>
        <w:t>2</w:t>
      </w:r>
      <w:r w:rsidRPr="00112F64">
        <w:rPr>
          <w:color w:val="222222"/>
          <w:shd w:val="clear" w:color="auto" w:fill="FFFFFF"/>
        </w:rPr>
        <w:t>(1), 20-29.</w:t>
      </w:r>
    </w:p>
    <w:p w14:paraId="59C626F8"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Government notice 1026 (1949); Government notice 1027 (1949) Storage, handling and dispensing of inflammable liquids</w:t>
      </w:r>
    </w:p>
    <w:p w14:paraId="21D1EA36"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Government Notice 1026, (1949) Storage of inflammable liquids </w:t>
      </w:r>
    </w:p>
    <w:p w14:paraId="0D12E599"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Government Notice 1027, (1949) Dispensing of inflammable liquids</w:t>
      </w:r>
    </w:p>
    <w:p w14:paraId="28FED91A"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Government Notice 843, (1968) Salisbury Fire Bylaws</w:t>
      </w:r>
    </w:p>
    <w:p w14:paraId="53DB8EF7" w14:textId="77777777" w:rsidR="00112F64" w:rsidRPr="00BE2000" w:rsidRDefault="00112F64" w:rsidP="002B358B">
      <w:pPr>
        <w:spacing w:line="360" w:lineRule="auto"/>
        <w:ind w:left="567" w:hanging="567"/>
        <w:jc w:val="both"/>
        <w:rPr>
          <w:color w:val="000000" w:themeColor="text1"/>
        </w:rPr>
      </w:pPr>
      <w:bookmarkStart w:id="147" w:name="_Hlk212750139"/>
      <w:r w:rsidRPr="00BE2000">
        <w:rPr>
          <w:color w:val="000000" w:themeColor="text1"/>
        </w:rPr>
        <w:lastRenderedPageBreak/>
        <w:t>Griffiths</w:t>
      </w:r>
      <w:bookmarkEnd w:id="147"/>
      <w:r w:rsidRPr="00BE2000">
        <w:rPr>
          <w:color w:val="000000" w:themeColor="text1"/>
        </w:rPr>
        <w:t>, S. D., Entwistle, J. A., Kelly, F. J., &amp; Deary, M. E. (2022). Characterising the ground level concentrations of harmful organic and inorganic substances released during major industrial fires, and implications for human health. </w:t>
      </w:r>
      <w:r w:rsidRPr="00BE2000">
        <w:rPr>
          <w:i/>
          <w:iCs/>
          <w:color w:val="000000" w:themeColor="text1"/>
        </w:rPr>
        <w:t>Environment International</w:t>
      </w:r>
      <w:r w:rsidRPr="00BE2000">
        <w:rPr>
          <w:color w:val="000000" w:themeColor="text1"/>
        </w:rPr>
        <w:t>, </w:t>
      </w:r>
      <w:r w:rsidRPr="00BE2000">
        <w:rPr>
          <w:i/>
          <w:iCs/>
          <w:color w:val="000000" w:themeColor="text1"/>
        </w:rPr>
        <w:t>162</w:t>
      </w:r>
      <w:r w:rsidRPr="00BE2000">
        <w:rPr>
          <w:color w:val="000000" w:themeColor="text1"/>
        </w:rPr>
        <w:t>, 107152.</w:t>
      </w:r>
    </w:p>
    <w:p w14:paraId="29086F60"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Harare Fire Brigade (2016), Annual Report.</w:t>
      </w:r>
    </w:p>
    <w:p w14:paraId="43A580F4"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Harare Fire Brigade (2022), Annual Report.</w:t>
      </w:r>
    </w:p>
    <w:p w14:paraId="3F50EAA1"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Harare Fire Brigade (2023), Annual Report.</w:t>
      </w:r>
    </w:p>
    <w:p w14:paraId="1E460219"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Harare Fire Brigade (2024), Annual Report.</w:t>
      </w:r>
    </w:p>
    <w:p w14:paraId="7ECB4A3A" w14:textId="77777777" w:rsidR="00112F64" w:rsidRPr="00BE2000" w:rsidRDefault="00112F64" w:rsidP="002B358B">
      <w:pPr>
        <w:spacing w:line="360" w:lineRule="auto"/>
        <w:ind w:left="567" w:hanging="567"/>
        <w:jc w:val="both"/>
        <w:rPr>
          <w:color w:val="000000" w:themeColor="text1"/>
        </w:rPr>
      </w:pPr>
      <w:bookmarkStart w:id="148" w:name="_Hlk212737561"/>
      <w:r w:rsidRPr="00BE2000">
        <w:rPr>
          <w:color w:val="000000" w:themeColor="text1"/>
        </w:rPr>
        <w:t>Hatchimonji</w:t>
      </w:r>
      <w:bookmarkEnd w:id="148"/>
      <w:r w:rsidRPr="00BE2000">
        <w:rPr>
          <w:color w:val="000000" w:themeColor="text1"/>
        </w:rPr>
        <w:t>, J. S., Kaufman, E. J., Babalola, D., Candido, K., Chreiman, K., Jackson, S., ... &amp; Seamon, M. J. (2022). Beyond pain and disability: the lasting effects of trauma on life after injury. </w:t>
      </w:r>
      <w:r w:rsidRPr="00BE2000">
        <w:rPr>
          <w:i/>
          <w:iCs/>
          <w:color w:val="000000" w:themeColor="text1"/>
        </w:rPr>
        <w:t>Journal of Trauma and Acute Care Surgery</w:t>
      </w:r>
      <w:r w:rsidRPr="00BE2000">
        <w:rPr>
          <w:color w:val="000000" w:themeColor="text1"/>
        </w:rPr>
        <w:t>, </w:t>
      </w:r>
      <w:r w:rsidRPr="00BE2000">
        <w:rPr>
          <w:i/>
          <w:iCs/>
          <w:color w:val="000000" w:themeColor="text1"/>
        </w:rPr>
        <w:t>93</w:t>
      </w:r>
      <w:r w:rsidRPr="00BE2000">
        <w:rPr>
          <w:color w:val="000000" w:themeColor="text1"/>
        </w:rPr>
        <w:t>(3), 332-339.</w:t>
      </w:r>
    </w:p>
    <w:p w14:paraId="57EB8868"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He, W., &amp; Weng, Q. (2025). Disparities of urban morphology effects on compound natural risks: a multiscale study across the USA. npj Urban Sustainability, 5(1), 39.</w:t>
      </w:r>
    </w:p>
    <w:p w14:paraId="01DCE902" w14:textId="102DC6F2"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Hosford, C. (2020). A research project submitted in partial fulfilment of the requirements for the degree of </w:t>
      </w:r>
      <w:r w:rsidR="00044B1B" w:rsidRPr="00BE2000">
        <w:rPr>
          <w:color w:val="000000" w:themeColor="text1"/>
        </w:rPr>
        <w:t>Master of Science</w:t>
      </w:r>
      <w:r w:rsidRPr="00BE2000">
        <w:rPr>
          <w:color w:val="000000" w:themeColor="text1"/>
        </w:rPr>
        <w:t>.</w:t>
      </w:r>
    </w:p>
    <w:p w14:paraId="12E3A26F"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IFC. (2016). Performance Standards on Environmental and Social Sustainability. International Finance Corporation. </w:t>
      </w:r>
      <w:hyperlink r:id="rId23" w:history="1">
        <w:r w:rsidRPr="00BE2000">
          <w:rPr>
            <w:rStyle w:val="Hyperlink"/>
            <w:color w:val="000000" w:themeColor="text1"/>
          </w:rPr>
          <w:t>https://www.ifc.org/content/dam/ifc/doc/mgrt/ifc-performance-standards.pdf</w:t>
        </w:r>
      </w:hyperlink>
    </w:p>
    <w:p w14:paraId="41DB325A"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IFRC. (2019). Community-based fire risk reduction guidance. International Federation of Red Cross and Red Crescent Societies. </w:t>
      </w:r>
      <w:hyperlink r:id="rId24" w:history="1">
        <w:r w:rsidRPr="00BE2000">
          <w:rPr>
            <w:rStyle w:val="Hyperlink"/>
            <w:color w:val="000000" w:themeColor="text1"/>
          </w:rPr>
          <w:t>https://www.ifrc.org/media/43564</w:t>
        </w:r>
      </w:hyperlink>
    </w:p>
    <w:p w14:paraId="11276FC1"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IFRC. (2020). World Disasters Report: Community resilience and risk reduction. International Federation of Red Cross and Red Crescent Societies. </w:t>
      </w:r>
      <w:hyperlink r:id="rId25" w:history="1">
        <w:r w:rsidRPr="00BE2000">
          <w:rPr>
            <w:rStyle w:val="Hyperlink"/>
            <w:color w:val="000000" w:themeColor="text1"/>
          </w:rPr>
          <w:t>https://www.ifrc.org/taxonomy/term/1264</w:t>
        </w:r>
      </w:hyperlink>
    </w:p>
    <w:p w14:paraId="30F6F669"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info@law.co.zw, (2025). Regional Town And Country Planning Act (Chapter 29:12) </w:t>
      </w:r>
      <w:hyperlink r:id="rId26" w:history="1">
        <w:r w:rsidRPr="00BE2000">
          <w:rPr>
            <w:rStyle w:val="Hyperlink"/>
            <w:color w:val="000000" w:themeColor="text1"/>
          </w:rPr>
          <w:t>https://www.law.co.zw/download/regional-town-and-country-planning-act-chapter-2912/</w:t>
        </w:r>
      </w:hyperlink>
    </w:p>
    <w:p w14:paraId="0D57F5EF"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International Organization for Standardization (iso), 2023; </w:t>
      </w:r>
      <w:hyperlink r:id="rId27" w:history="1">
        <w:r w:rsidRPr="00BE2000">
          <w:rPr>
            <w:rStyle w:val="Hyperlink"/>
            <w:color w:val="000000" w:themeColor="text1"/>
          </w:rPr>
          <w:t>https://www.iso.org/standard/65694.html</w:t>
        </w:r>
      </w:hyperlink>
    </w:p>
    <w:p w14:paraId="028298DC"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IPCC. (2021). Climate change 2021: The physical science basis. Intergovernmental Panel on Climate Change. </w:t>
      </w:r>
      <w:hyperlink r:id="rId28" w:history="1">
        <w:r w:rsidRPr="00BE2000">
          <w:rPr>
            <w:rStyle w:val="Hyperlink"/>
            <w:color w:val="000000" w:themeColor="text1"/>
          </w:rPr>
          <w:t>https://www.ipcc.ch/report/ar6/wg1/</w:t>
        </w:r>
      </w:hyperlink>
    </w:p>
    <w:p w14:paraId="672EEAE3"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ISO. (2018). ISO 45001: Occupational health and safety management systems. International Organization for Standardization. </w:t>
      </w:r>
      <w:hyperlink r:id="rId29" w:history="1">
        <w:r w:rsidRPr="00BE2000">
          <w:rPr>
            <w:rStyle w:val="Hyperlink"/>
            <w:color w:val="000000" w:themeColor="text1"/>
          </w:rPr>
          <w:t>https://www.iso.org/standard/63787.html</w:t>
        </w:r>
      </w:hyperlink>
    </w:p>
    <w:p w14:paraId="0DF604CD"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lastRenderedPageBreak/>
        <w:t xml:space="preserve">ISO. (2018a). ISO 22320:2018 Security and resilience—Emergency management—Requirements for incident management. International Organization for Standardization. </w:t>
      </w:r>
      <w:hyperlink r:id="rId30" w:history="1">
        <w:r w:rsidRPr="00BE2000">
          <w:rPr>
            <w:rStyle w:val="Hyperlink"/>
            <w:color w:val="000000" w:themeColor="text1"/>
          </w:rPr>
          <w:t>https://www.iso.org/standard/67851.html</w:t>
        </w:r>
      </w:hyperlink>
    </w:p>
    <w:p w14:paraId="3222DA08" w14:textId="77777777" w:rsidR="00112F64" w:rsidRPr="00BE2000" w:rsidRDefault="00112F64" w:rsidP="002B358B">
      <w:pPr>
        <w:spacing w:line="360" w:lineRule="auto"/>
        <w:ind w:left="567" w:hanging="567"/>
        <w:jc w:val="both"/>
        <w:rPr>
          <w:color w:val="000000" w:themeColor="text1"/>
        </w:rPr>
      </w:pPr>
      <w:bookmarkStart w:id="149" w:name="_Hlk212777035"/>
      <w:r w:rsidRPr="00BE2000">
        <w:rPr>
          <w:color w:val="000000" w:themeColor="text1"/>
        </w:rPr>
        <w:t>Jakhar</w:t>
      </w:r>
      <w:bookmarkEnd w:id="149"/>
      <w:r w:rsidRPr="00BE2000">
        <w:rPr>
          <w:color w:val="000000" w:themeColor="text1"/>
        </w:rPr>
        <w:t>, R., Samek, L., &amp; Styszko, K. (2023). A comprehensive study of the impact of waste fires on the environment and health. </w:t>
      </w:r>
      <w:r w:rsidRPr="00BE2000">
        <w:rPr>
          <w:i/>
          <w:iCs/>
          <w:color w:val="000000" w:themeColor="text1"/>
        </w:rPr>
        <w:t>Sustainability</w:t>
      </w:r>
      <w:r w:rsidRPr="00BE2000">
        <w:rPr>
          <w:color w:val="000000" w:themeColor="text1"/>
        </w:rPr>
        <w:t>, </w:t>
      </w:r>
      <w:r w:rsidRPr="00BE2000">
        <w:rPr>
          <w:i/>
          <w:iCs/>
          <w:color w:val="000000" w:themeColor="text1"/>
        </w:rPr>
        <w:t>15</w:t>
      </w:r>
      <w:r w:rsidRPr="00BE2000">
        <w:rPr>
          <w:color w:val="000000" w:themeColor="text1"/>
        </w:rPr>
        <w:t>(19), 14241.</w:t>
      </w:r>
    </w:p>
    <w:p w14:paraId="7E13292A" w14:textId="77777777" w:rsidR="00112F64" w:rsidRPr="00BE2000" w:rsidRDefault="00112F64" w:rsidP="002B358B">
      <w:pPr>
        <w:spacing w:line="360" w:lineRule="auto"/>
        <w:ind w:left="567" w:hanging="567"/>
        <w:jc w:val="both"/>
        <w:rPr>
          <w:color w:val="000000" w:themeColor="text1"/>
        </w:rPr>
      </w:pPr>
      <w:bookmarkStart w:id="150" w:name="_Hlk212907092"/>
      <w:r w:rsidRPr="00BE2000">
        <w:rPr>
          <w:color w:val="000000" w:themeColor="text1"/>
        </w:rPr>
        <w:t>Jakhar</w:t>
      </w:r>
      <w:bookmarkEnd w:id="150"/>
      <w:r w:rsidRPr="00BE2000">
        <w:rPr>
          <w:color w:val="000000" w:themeColor="text1"/>
        </w:rPr>
        <w:t>, R., Samek, L., &amp; Styszko, K. (2023). A comprehensive study of the impact of waste fires on the environment and health. Sustainability, 15(19), 14241.</w:t>
      </w:r>
    </w:p>
    <w:p w14:paraId="401F1C4E" w14:textId="77777777" w:rsidR="00112F64" w:rsidRPr="00BE2000" w:rsidRDefault="00112F64" w:rsidP="002B358B">
      <w:pPr>
        <w:spacing w:line="360" w:lineRule="auto"/>
        <w:ind w:left="567" w:hanging="567"/>
        <w:jc w:val="both"/>
        <w:rPr>
          <w:color w:val="000000" w:themeColor="text1"/>
        </w:rPr>
      </w:pPr>
      <w:bookmarkStart w:id="151" w:name="_Hlk212925747"/>
      <w:r w:rsidRPr="00BE2000">
        <w:rPr>
          <w:color w:val="000000" w:themeColor="text1"/>
        </w:rPr>
        <w:t>Jones</w:t>
      </w:r>
      <w:bookmarkEnd w:id="151"/>
      <w:r w:rsidRPr="00BE2000">
        <w:rPr>
          <w:color w:val="000000" w:themeColor="text1"/>
        </w:rPr>
        <w:t xml:space="preserve">, M. W., Abatzoglou, J. T., Veraverbeke, S., Andela, N., Lasslop, G., Forkel, M., ... &amp; Le Quéré, C. (2022). Global and regional trends and drivers of fire under climate change. Reviews of Geophysics, 60(3), e2020RG000726. </w:t>
      </w:r>
    </w:p>
    <w:p w14:paraId="048DB37B" w14:textId="77777777" w:rsidR="00112F64" w:rsidRPr="00BE2000" w:rsidRDefault="00112F64" w:rsidP="002B358B">
      <w:pPr>
        <w:spacing w:line="360" w:lineRule="auto"/>
        <w:ind w:left="567" w:hanging="567"/>
        <w:jc w:val="both"/>
        <w:rPr>
          <w:color w:val="000000" w:themeColor="text1"/>
        </w:rPr>
      </w:pPr>
      <w:bookmarkStart w:id="152" w:name="_Hlk212909051"/>
      <w:r w:rsidRPr="00BE2000">
        <w:rPr>
          <w:color w:val="000000" w:themeColor="text1"/>
        </w:rPr>
        <w:t>Kasimbazi, E. B. (2024)</w:t>
      </w:r>
      <w:bookmarkEnd w:id="152"/>
      <w:r w:rsidRPr="00BE2000">
        <w:rPr>
          <w:color w:val="000000" w:themeColor="text1"/>
        </w:rPr>
        <w:t>. Analysis of legal and regulatory frameworks for disaster risk management in Africa. In Research Handbook on Disasters and International Law (pp. 320-342). Edward Elgar Publishing.</w:t>
      </w:r>
    </w:p>
    <w:p w14:paraId="4B2B32AD" w14:textId="77777777" w:rsidR="00112F64" w:rsidRPr="00BE2000" w:rsidRDefault="00112F64" w:rsidP="002B358B">
      <w:pPr>
        <w:spacing w:line="360" w:lineRule="auto"/>
        <w:ind w:left="567" w:hanging="567"/>
        <w:jc w:val="both"/>
        <w:rPr>
          <w:color w:val="000000" w:themeColor="text1"/>
        </w:rPr>
      </w:pPr>
      <w:bookmarkStart w:id="153" w:name="_Hlk212738477"/>
      <w:r w:rsidRPr="00BE2000">
        <w:rPr>
          <w:color w:val="000000" w:themeColor="text1"/>
        </w:rPr>
        <w:t>Kim</w:t>
      </w:r>
      <w:bookmarkEnd w:id="153"/>
      <w:r w:rsidRPr="00BE2000">
        <w:rPr>
          <w:color w:val="000000" w:themeColor="text1"/>
        </w:rPr>
        <w:t>, Y. H., Sinha, A., George, I. J., DeMarini, D. M., Grieshop, A. P., &amp; Gilmour, M. I. (2023). Toxicity of fresh and aged anthropogenic smoke particles emitted from different burning conditions. </w:t>
      </w:r>
      <w:r w:rsidRPr="00BE2000">
        <w:rPr>
          <w:i/>
          <w:iCs/>
          <w:color w:val="000000" w:themeColor="text1"/>
        </w:rPr>
        <w:t>Science of The Total Environment</w:t>
      </w:r>
      <w:r w:rsidRPr="00BE2000">
        <w:rPr>
          <w:color w:val="000000" w:themeColor="text1"/>
        </w:rPr>
        <w:t>, </w:t>
      </w:r>
      <w:r w:rsidRPr="00BE2000">
        <w:rPr>
          <w:i/>
          <w:iCs/>
          <w:color w:val="000000" w:themeColor="text1"/>
        </w:rPr>
        <w:t>892</w:t>
      </w:r>
      <w:r w:rsidRPr="00BE2000">
        <w:rPr>
          <w:color w:val="000000" w:themeColor="text1"/>
        </w:rPr>
        <w:t>, 164778.</w:t>
      </w:r>
    </w:p>
    <w:p w14:paraId="5343EB24" w14:textId="77777777" w:rsidR="00112F64" w:rsidRPr="00BE2000" w:rsidRDefault="00112F64" w:rsidP="002B358B">
      <w:pPr>
        <w:spacing w:line="360" w:lineRule="auto"/>
        <w:ind w:left="567" w:hanging="567"/>
        <w:jc w:val="both"/>
        <w:rPr>
          <w:color w:val="000000" w:themeColor="text1"/>
        </w:rPr>
      </w:pPr>
      <w:bookmarkStart w:id="154" w:name="_Hlk212920908"/>
      <w:r w:rsidRPr="00BE2000">
        <w:rPr>
          <w:color w:val="000000" w:themeColor="text1"/>
        </w:rPr>
        <w:t>Kirschner</w:t>
      </w:r>
      <w:bookmarkEnd w:id="154"/>
      <w:r w:rsidRPr="00BE2000">
        <w:rPr>
          <w:color w:val="000000" w:themeColor="text1"/>
        </w:rPr>
        <w:t>, J., Clark, J., &amp; Boustras, G. (2023). Governing wildfires: toward a systematic analytical framework. Ecology and Society, 28(2), 6.</w:t>
      </w:r>
    </w:p>
    <w:p w14:paraId="6FA0AB2D" w14:textId="77777777" w:rsidR="00112F64" w:rsidRPr="00BE2000" w:rsidRDefault="00112F64" w:rsidP="002B358B">
      <w:pPr>
        <w:spacing w:line="360" w:lineRule="auto"/>
        <w:ind w:left="567" w:hanging="567"/>
        <w:jc w:val="both"/>
        <w:rPr>
          <w:color w:val="000000" w:themeColor="text1"/>
        </w:rPr>
      </w:pPr>
      <w:bookmarkStart w:id="155" w:name="_Hlk212749543"/>
      <w:r w:rsidRPr="00BE2000">
        <w:rPr>
          <w:color w:val="000000" w:themeColor="text1"/>
        </w:rPr>
        <w:t xml:space="preserve">Kodur, </w:t>
      </w:r>
      <w:bookmarkEnd w:id="155"/>
      <w:r w:rsidRPr="00BE2000">
        <w:rPr>
          <w:color w:val="000000" w:themeColor="text1"/>
        </w:rPr>
        <w:t>V., Kumar, P., &amp; Rafi, M. M. (2020). Fire hazard in buildings: review, assessment and strategies for improving fire safety. </w:t>
      </w:r>
      <w:r w:rsidRPr="00BE2000">
        <w:rPr>
          <w:i/>
          <w:iCs/>
          <w:color w:val="000000" w:themeColor="text1"/>
        </w:rPr>
        <w:t>PSU research review</w:t>
      </w:r>
      <w:r w:rsidRPr="00BE2000">
        <w:rPr>
          <w:color w:val="000000" w:themeColor="text1"/>
        </w:rPr>
        <w:t>, </w:t>
      </w:r>
      <w:r w:rsidRPr="00BE2000">
        <w:rPr>
          <w:i/>
          <w:iCs/>
          <w:color w:val="000000" w:themeColor="text1"/>
        </w:rPr>
        <w:t>4</w:t>
      </w:r>
      <w:r w:rsidRPr="00BE2000">
        <w:rPr>
          <w:color w:val="000000" w:themeColor="text1"/>
        </w:rPr>
        <w:t>(1), 1-23.</w:t>
      </w:r>
    </w:p>
    <w:p w14:paraId="01D3DB28" w14:textId="77777777" w:rsidR="00112F64" w:rsidRPr="00BE2000" w:rsidRDefault="00112F64" w:rsidP="002B358B">
      <w:pPr>
        <w:spacing w:line="360" w:lineRule="auto"/>
        <w:ind w:left="567" w:hanging="567"/>
        <w:jc w:val="both"/>
        <w:rPr>
          <w:color w:val="000000" w:themeColor="text1"/>
        </w:rPr>
      </w:pPr>
      <w:bookmarkStart w:id="156" w:name="_Hlk212777756"/>
      <w:r w:rsidRPr="00BE2000">
        <w:rPr>
          <w:color w:val="000000" w:themeColor="text1"/>
        </w:rPr>
        <w:t>Lapola</w:t>
      </w:r>
      <w:bookmarkEnd w:id="156"/>
      <w:r w:rsidRPr="00BE2000">
        <w:rPr>
          <w:color w:val="000000" w:themeColor="text1"/>
        </w:rPr>
        <w:t>, D. M., Pinho, P., Barlow, J., Aragão, L. E., Berenguer, E., Carmenta, R., ... &amp; Walker, W. S. (2023). The drivers and impacts of Amazon forest degradation. </w:t>
      </w:r>
      <w:r w:rsidRPr="00BE2000">
        <w:rPr>
          <w:i/>
          <w:iCs/>
          <w:color w:val="000000" w:themeColor="text1"/>
        </w:rPr>
        <w:t>Science</w:t>
      </w:r>
      <w:r w:rsidRPr="00BE2000">
        <w:rPr>
          <w:color w:val="000000" w:themeColor="text1"/>
        </w:rPr>
        <w:t>, </w:t>
      </w:r>
      <w:r w:rsidRPr="00BE2000">
        <w:rPr>
          <w:i/>
          <w:iCs/>
          <w:color w:val="000000" w:themeColor="text1"/>
        </w:rPr>
        <w:t>379</w:t>
      </w:r>
      <w:r w:rsidRPr="00BE2000">
        <w:rPr>
          <w:color w:val="000000" w:themeColor="text1"/>
        </w:rPr>
        <w:t>(6630), eabp8622.</w:t>
      </w:r>
    </w:p>
    <w:p w14:paraId="378B401C"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Lara Mesa, R. (2021). Social vulnerability to environmental hazards: How cognitive factors influence preventive behavior to forest fires in people living in the wildland-urban interface. A case study of the Valparaiso region, Chile.</w:t>
      </w:r>
    </w:p>
    <w:p w14:paraId="74273CF3" w14:textId="77777777" w:rsidR="00112F64" w:rsidRPr="00BE2000" w:rsidRDefault="00112F64" w:rsidP="002B358B">
      <w:pPr>
        <w:spacing w:line="360" w:lineRule="auto"/>
        <w:ind w:left="567" w:hanging="567"/>
        <w:jc w:val="both"/>
        <w:rPr>
          <w:color w:val="000000" w:themeColor="text1"/>
        </w:rPr>
      </w:pPr>
      <w:bookmarkStart w:id="157" w:name="_Hlk212909354"/>
      <w:r w:rsidRPr="00BE2000">
        <w:rPr>
          <w:color w:val="000000" w:themeColor="text1"/>
        </w:rPr>
        <w:t>Letebele</w:t>
      </w:r>
      <w:bookmarkEnd w:id="157"/>
      <w:r w:rsidRPr="00BE2000">
        <w:rPr>
          <w:color w:val="000000" w:themeColor="text1"/>
        </w:rPr>
        <w:t>, K. E., De Araujo, M. A., Belle, J. A., Shigwedha, F. A., Bakajika, L. N., Ochieng, G., ... &amp; Sada, K. H. (2024). Lessons learned from the risk-informed urban development initiative in the SADC region. Jàmbá: Journal of Disaster Risk Studies, 16(2), 1793.</w:t>
      </w:r>
    </w:p>
    <w:p w14:paraId="205A31C3" w14:textId="77777777" w:rsidR="00112F64" w:rsidRPr="00BE2000" w:rsidRDefault="00112F64" w:rsidP="002B358B">
      <w:pPr>
        <w:spacing w:line="360" w:lineRule="auto"/>
        <w:ind w:left="567" w:hanging="567"/>
        <w:jc w:val="both"/>
        <w:rPr>
          <w:color w:val="000000" w:themeColor="text1"/>
        </w:rPr>
      </w:pPr>
      <w:bookmarkStart w:id="158" w:name="_Hlk212738915"/>
      <w:r w:rsidRPr="00BE2000">
        <w:rPr>
          <w:color w:val="000000" w:themeColor="text1"/>
        </w:rPr>
        <w:lastRenderedPageBreak/>
        <w:t>Liao</w:t>
      </w:r>
      <w:bookmarkEnd w:id="158"/>
      <w:r w:rsidRPr="00BE2000">
        <w:rPr>
          <w:color w:val="000000" w:themeColor="text1"/>
        </w:rPr>
        <w:t>, C., Varcoe, C., Brown, H., &amp; Pike, I. (2024). Beyond individual factors: a critical ethnographic account of urban residential fire risks, experiences, and responses in single-room occupancy (SRO) housing. </w:t>
      </w:r>
      <w:r w:rsidRPr="00BE2000">
        <w:rPr>
          <w:i/>
          <w:iCs/>
          <w:color w:val="000000" w:themeColor="text1"/>
        </w:rPr>
        <w:t>BMC Public Health</w:t>
      </w:r>
      <w:r w:rsidRPr="00BE2000">
        <w:rPr>
          <w:color w:val="000000" w:themeColor="text1"/>
        </w:rPr>
        <w:t>, </w:t>
      </w:r>
      <w:r w:rsidRPr="00BE2000">
        <w:rPr>
          <w:i/>
          <w:iCs/>
          <w:color w:val="000000" w:themeColor="text1"/>
        </w:rPr>
        <w:t>24</w:t>
      </w:r>
      <w:r w:rsidRPr="00BE2000">
        <w:rPr>
          <w:color w:val="000000" w:themeColor="text1"/>
        </w:rPr>
        <w:t>(1), 2343.</w:t>
      </w:r>
    </w:p>
    <w:p w14:paraId="3F33C681"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Loggia, C., &amp; Govender, V. (2020, August). A hybrid methodology to map informal settlements in Durban, South Africa. In Proceedings of the Institution of Civil Engineers-Engineering Sustainability (Vol. 173, No. 5, pp. 257-268). Thomas Telford Ltd.</w:t>
      </w:r>
    </w:p>
    <w:p w14:paraId="40531356" w14:textId="77777777" w:rsidR="00112F64" w:rsidRDefault="00112F64" w:rsidP="002B358B">
      <w:pPr>
        <w:spacing w:line="360" w:lineRule="auto"/>
        <w:ind w:left="567" w:hanging="567"/>
        <w:jc w:val="both"/>
        <w:rPr>
          <w:color w:val="222222"/>
          <w:shd w:val="clear" w:color="auto" w:fill="FFFFFF"/>
        </w:rPr>
      </w:pPr>
      <w:r w:rsidRPr="00112F64">
        <w:t>Manisalidis, I., Stavropoulou, E., Stavropoulos, A., &amp; Bezirtzoglou, E. (2020). Environmental and health impacts of air pollution: a review. </w:t>
      </w:r>
      <w:r w:rsidRPr="00112F64">
        <w:rPr>
          <w:i/>
          <w:iCs/>
        </w:rPr>
        <w:t>Frontiers in public health</w:t>
      </w:r>
      <w:r w:rsidRPr="00112F64">
        <w:t>, </w:t>
      </w:r>
      <w:r w:rsidRPr="00112F64">
        <w:rPr>
          <w:i/>
          <w:iCs/>
        </w:rPr>
        <w:t>8</w:t>
      </w:r>
      <w:r w:rsidRPr="00112F64">
        <w:t>, 14.</w:t>
      </w:r>
    </w:p>
    <w:p w14:paraId="4E19A73A" w14:textId="7B96A903" w:rsidR="00112F64" w:rsidRPr="00BE2000" w:rsidRDefault="00112F64" w:rsidP="002B358B">
      <w:pPr>
        <w:spacing w:line="360" w:lineRule="auto"/>
        <w:ind w:left="567" w:hanging="567"/>
        <w:jc w:val="both"/>
        <w:rPr>
          <w:color w:val="000000" w:themeColor="text1"/>
        </w:rPr>
      </w:pPr>
      <w:r w:rsidRPr="00BE2000">
        <w:rPr>
          <w:color w:val="000000" w:themeColor="text1"/>
        </w:rPr>
        <w:t>Manyunzu, D. C. (2022). Challenges of Moving into Medium Density Walk-Up Residential Flats (MDWRFs): A Cajse of Harare (</w:t>
      </w:r>
      <w:r w:rsidR="00044B1B" w:rsidRPr="00BE2000">
        <w:rPr>
          <w:color w:val="000000" w:themeColor="text1"/>
        </w:rPr>
        <w:t>master’s</w:t>
      </w:r>
      <w:r w:rsidRPr="00BE2000">
        <w:rPr>
          <w:color w:val="000000" w:themeColor="text1"/>
        </w:rPr>
        <w:t xml:space="preserve"> thesis, University of the Witwatersrand, Johannesburg (South Africa)</w:t>
      </w:r>
    </w:p>
    <w:p w14:paraId="493145DE" w14:textId="77777777" w:rsidR="00112F64" w:rsidRDefault="00112F64" w:rsidP="002B358B">
      <w:pPr>
        <w:spacing w:line="360" w:lineRule="auto"/>
        <w:ind w:left="567" w:hanging="567"/>
        <w:jc w:val="both"/>
        <w:rPr>
          <w:color w:val="222222"/>
          <w:shd w:val="clear" w:color="auto" w:fill="FFFFFF"/>
        </w:rPr>
      </w:pPr>
      <w:r w:rsidRPr="00112F64">
        <w:t>Manzello, S. L. (Ed.). (2020). Encyclopedia of wildfires and wildland-urban interface (WUI) fires. Cham: Springer International Publishing.</w:t>
      </w:r>
    </w:p>
    <w:p w14:paraId="025241C6"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Marondedze, A. K. (2022). The geography of contemporary urbanization and its effects on landscape sustainability in Harare Metropolitan Province. Freie Universitaet Berlin (Germany).</w:t>
      </w:r>
    </w:p>
    <w:p w14:paraId="28B20087"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Marutlulle, N. K. (2021). A critical analysis of housing inadequacy in South Africa and its ramifications. Africa’s Public Service Delivery and Performance Review, 9(1), 372.</w:t>
      </w:r>
    </w:p>
    <w:p w14:paraId="4FCB0C58" w14:textId="77777777" w:rsidR="00112F64" w:rsidRPr="00BE2000" w:rsidRDefault="00112F64" w:rsidP="002B358B">
      <w:pPr>
        <w:spacing w:line="360" w:lineRule="auto"/>
        <w:ind w:left="567" w:hanging="567"/>
        <w:jc w:val="both"/>
        <w:rPr>
          <w:color w:val="000000" w:themeColor="text1"/>
        </w:rPr>
      </w:pPr>
      <w:bookmarkStart w:id="159" w:name="_Hlk212778153"/>
      <w:r w:rsidRPr="00BE2000">
        <w:rPr>
          <w:color w:val="000000" w:themeColor="text1"/>
        </w:rPr>
        <w:t xml:space="preserve">Masimba, G and Walnycki, A (2024). </w:t>
      </w:r>
      <w:bookmarkEnd w:id="159"/>
      <w:r w:rsidRPr="00BE2000">
        <w:rPr>
          <w:color w:val="000000" w:themeColor="text1"/>
        </w:rPr>
        <w:t xml:space="preserve">“Harare: City report”. ACRC Working Paper 2024- 19. Manchester: African Cities Research Consortium, The University of Manchester. Available online: </w:t>
      </w:r>
      <w:hyperlink r:id="rId31" w:history="1">
        <w:r w:rsidRPr="00BE2000">
          <w:rPr>
            <w:rStyle w:val="Hyperlink"/>
            <w:color w:val="000000" w:themeColor="text1"/>
          </w:rPr>
          <w:t>www.african-cities.org</w:t>
        </w:r>
      </w:hyperlink>
    </w:p>
    <w:p w14:paraId="3BA55985" w14:textId="77777777" w:rsidR="00112F64" w:rsidRPr="00BE2000" w:rsidRDefault="00112F64" w:rsidP="002B358B">
      <w:pPr>
        <w:spacing w:line="360" w:lineRule="auto"/>
        <w:ind w:left="567" w:hanging="567"/>
        <w:jc w:val="both"/>
        <w:rPr>
          <w:color w:val="000000" w:themeColor="text1"/>
        </w:rPr>
      </w:pPr>
      <w:bookmarkStart w:id="160" w:name="_Hlk212780151"/>
      <w:r w:rsidRPr="00197F1F">
        <w:rPr>
          <w:color w:val="000000" w:themeColor="text1"/>
          <w:lang w:val="it-IT"/>
        </w:rPr>
        <w:t>Matamanda</w:t>
      </w:r>
      <w:bookmarkEnd w:id="160"/>
      <w:r w:rsidRPr="00197F1F">
        <w:rPr>
          <w:color w:val="000000" w:themeColor="text1"/>
          <w:lang w:val="it-IT"/>
        </w:rPr>
        <w:t xml:space="preserve">, A. R., Chirisa, I., Rammile, S., &amp; Marais, M. (2022). </w:t>
      </w:r>
      <w:r w:rsidRPr="00BE2000">
        <w:rPr>
          <w:color w:val="000000" w:themeColor="text1"/>
        </w:rPr>
        <w:t>Housing Delivery, Management and Technology. In </w:t>
      </w:r>
      <w:r w:rsidRPr="00BE2000">
        <w:rPr>
          <w:i/>
          <w:iCs/>
          <w:color w:val="000000" w:themeColor="text1"/>
        </w:rPr>
        <w:t>Housing and Technology: Special Focus on Zimbabwe</w:t>
      </w:r>
      <w:r w:rsidRPr="00BE2000">
        <w:rPr>
          <w:color w:val="000000" w:themeColor="text1"/>
        </w:rPr>
        <w:t> (pp. 51-77). Cham: Springer International Publishing.</w:t>
      </w:r>
    </w:p>
    <w:p w14:paraId="51681D14"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Métais, C., Burel, N., Gillham, J. E., Tarquinio, C., &amp; Martin-Krumm, C. (2022). Integrative review of the recent literature on human resilience: From concepts, theories, and discussions towards a complex understanding. Europe's journal of psychology, 18(1), 98.</w:t>
      </w:r>
    </w:p>
    <w:p w14:paraId="22307956"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Model Building Bylaws, (1977)</w:t>
      </w:r>
    </w:p>
    <w:p w14:paraId="38AB8F64" w14:textId="77777777" w:rsidR="00112F64" w:rsidRPr="00112F64" w:rsidRDefault="00112F64" w:rsidP="002B358B">
      <w:pPr>
        <w:spacing w:line="360" w:lineRule="auto"/>
        <w:ind w:left="567" w:hanging="567"/>
        <w:jc w:val="both"/>
        <w:rPr>
          <w:color w:val="222222"/>
          <w:shd w:val="clear" w:color="auto" w:fill="FFFFFF"/>
        </w:rPr>
      </w:pPr>
      <w:r w:rsidRPr="00112F64">
        <w:t>Mucherera, B., &amp; Spiegel, S. (2022). Forced displacement: critical lessons in the protracted aftermath of a flood disaster. </w:t>
      </w:r>
      <w:r w:rsidRPr="00112F64">
        <w:rPr>
          <w:i/>
          <w:iCs/>
        </w:rPr>
        <w:t>GeoJournal</w:t>
      </w:r>
      <w:r w:rsidRPr="00112F64">
        <w:t>, </w:t>
      </w:r>
      <w:r w:rsidRPr="00112F64">
        <w:rPr>
          <w:i/>
          <w:iCs/>
        </w:rPr>
        <w:t>87</w:t>
      </w:r>
      <w:r w:rsidRPr="00112F64">
        <w:t>(5), 3855-3875.</w:t>
      </w:r>
    </w:p>
    <w:p w14:paraId="28A8BD2E"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lastRenderedPageBreak/>
        <w:t>Mutizwa, B. (2021). An Investigation into Organisation Capacity for National Disaster Management in Zimbabwe: The Case of the Department of Civil Protection. International Journal of Humanities, Management and Social Science (IJ-HuMaSS), 4(1), 23-34.</w:t>
      </w:r>
    </w:p>
    <w:p w14:paraId="6C6E5CFC" w14:textId="77777777" w:rsidR="00112F64" w:rsidRPr="00BE2000" w:rsidRDefault="00112F64" w:rsidP="002B358B">
      <w:pPr>
        <w:spacing w:line="360" w:lineRule="auto"/>
        <w:ind w:left="567" w:hanging="567"/>
        <w:jc w:val="both"/>
        <w:rPr>
          <w:color w:val="000000" w:themeColor="text1"/>
        </w:rPr>
      </w:pPr>
      <w:bookmarkStart w:id="161" w:name="_Hlk212738136"/>
      <w:r w:rsidRPr="00197F1F">
        <w:rPr>
          <w:color w:val="000000" w:themeColor="text1"/>
          <w:lang w:val="it-IT"/>
        </w:rPr>
        <w:t xml:space="preserve">Naser, M. Z., &amp; Kodur, V. (2025). </w:t>
      </w:r>
      <w:bookmarkEnd w:id="161"/>
      <w:r w:rsidRPr="00BE2000">
        <w:rPr>
          <w:color w:val="000000" w:themeColor="text1"/>
        </w:rPr>
        <w:t>Vulnerability of structures and infrastructure to wildfires: a perspective into assessment and mitigation strategies. </w:t>
      </w:r>
      <w:r w:rsidRPr="00BE2000">
        <w:rPr>
          <w:i/>
          <w:iCs/>
          <w:color w:val="000000" w:themeColor="text1"/>
        </w:rPr>
        <w:t>Natural Hazards</w:t>
      </w:r>
      <w:r w:rsidRPr="00BE2000">
        <w:rPr>
          <w:color w:val="000000" w:themeColor="text1"/>
        </w:rPr>
        <w:t>, </w:t>
      </w:r>
      <w:r w:rsidRPr="00BE2000">
        <w:rPr>
          <w:i/>
          <w:iCs/>
          <w:color w:val="000000" w:themeColor="text1"/>
        </w:rPr>
        <w:t>121</w:t>
      </w:r>
      <w:r w:rsidRPr="00BE2000">
        <w:rPr>
          <w:color w:val="000000" w:themeColor="text1"/>
        </w:rPr>
        <w:t>(8), 9995-10015.</w:t>
      </w:r>
    </w:p>
    <w:p w14:paraId="60F21021"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Nazif, S., Mohammadpour Khoie, M. M., &amp; Eslamian, S. (2021). Urban disaster management and resilience. In Handbook of disaster risk reduction for resilience: New frameworks for building resilience to disasters (pp. 157-185). Cham: Springer International Publishing.</w:t>
      </w:r>
    </w:p>
    <w:p w14:paraId="4161A113"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Ndlovu B (Dec 11, 2023) Paramount Garments loses millions to three-day fire. </w:t>
      </w:r>
      <w:hyperlink r:id="rId32" w:history="1">
        <w:r w:rsidRPr="00BE2000">
          <w:rPr>
            <w:rStyle w:val="Hyperlink"/>
            <w:color w:val="000000" w:themeColor="text1"/>
          </w:rPr>
          <w:t>https://www.newsday.co.zw/business/article/200020764/paramount-garments-loses-millions-to-three-day-fire</w:t>
        </w:r>
      </w:hyperlink>
    </w:p>
    <w:p w14:paraId="596D1CA2"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NFPA. (2024). NFPA 101: Life Safety Code. National Fire Protection Association. </w:t>
      </w:r>
      <w:hyperlink r:id="rId33" w:history="1">
        <w:r w:rsidRPr="00BE2000">
          <w:rPr>
            <w:rStyle w:val="Hyperlink"/>
            <w:color w:val="000000" w:themeColor="text1"/>
          </w:rPr>
          <w:t>https://www.nfpa.org/product/101-lsc-essentials-2024-lvt/lv10124</w:t>
        </w:r>
      </w:hyperlink>
    </w:p>
    <w:p w14:paraId="49F05EAC"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NFPA. (2024). NFPA 13: Installation of sprinkler systems. National Fire Protection Association. </w:t>
      </w:r>
      <w:hyperlink r:id="rId34" w:history="1">
        <w:r w:rsidRPr="00BE2000">
          <w:rPr>
            <w:rStyle w:val="Hyperlink"/>
            <w:color w:val="000000" w:themeColor="text1"/>
          </w:rPr>
          <w:t>www.nfpa.org/codes-and-standards/nfpa-13-standard-development/13</w:t>
        </w:r>
      </w:hyperlink>
    </w:p>
    <w:p w14:paraId="256CD4F0"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NFPA. (2024). NFPA 25: Standard for the inspection, testing, and maintenance of water-based fire protection systems. National Fire Protection Association. </w:t>
      </w:r>
      <w:hyperlink r:id="rId35" w:history="1">
        <w:r w:rsidRPr="00BE2000">
          <w:rPr>
            <w:rStyle w:val="Hyperlink"/>
            <w:color w:val="000000" w:themeColor="text1"/>
          </w:rPr>
          <w:t>https://www.nfpa.org/product/nfpa-25-standard/p0025code</w:t>
        </w:r>
      </w:hyperlink>
    </w:p>
    <w:p w14:paraId="5B31B69B" w14:textId="77777777" w:rsidR="00112F64" w:rsidRPr="00BE2000" w:rsidRDefault="00112F64" w:rsidP="002B358B">
      <w:pPr>
        <w:spacing w:line="360" w:lineRule="auto"/>
        <w:ind w:left="567" w:hanging="567"/>
        <w:jc w:val="both"/>
        <w:rPr>
          <w:color w:val="000000" w:themeColor="text1"/>
        </w:rPr>
      </w:pPr>
      <w:bookmarkStart w:id="162" w:name="_Hlk212830507"/>
      <w:r w:rsidRPr="00BE2000">
        <w:rPr>
          <w:color w:val="000000" w:themeColor="text1"/>
        </w:rPr>
        <w:t xml:space="preserve">Nwosu, C. V. (2025). </w:t>
      </w:r>
      <w:bookmarkEnd w:id="162"/>
      <w:r w:rsidRPr="00BE2000">
        <w:rPr>
          <w:color w:val="000000" w:themeColor="text1"/>
        </w:rPr>
        <w:t>Creating a Design Practice Framework to Better Integrate the Informal Economy in Nigeria.</w:t>
      </w:r>
    </w:p>
    <w:p w14:paraId="1D3733B9" w14:textId="77777777" w:rsidR="00112F64" w:rsidRPr="00BE2000" w:rsidRDefault="00112F64" w:rsidP="002B358B">
      <w:pPr>
        <w:spacing w:line="360" w:lineRule="auto"/>
        <w:ind w:left="567" w:hanging="567"/>
        <w:jc w:val="both"/>
        <w:rPr>
          <w:color w:val="000000" w:themeColor="text1"/>
        </w:rPr>
      </w:pPr>
      <w:bookmarkStart w:id="163" w:name="_Hlk212781835"/>
      <w:r w:rsidRPr="00BE2000">
        <w:rPr>
          <w:color w:val="000000" w:themeColor="text1"/>
        </w:rPr>
        <w:t xml:space="preserve">Nyamakura, B. K. (2021). </w:t>
      </w:r>
      <w:bookmarkEnd w:id="163"/>
      <w:r w:rsidRPr="00BE2000">
        <w:rPr>
          <w:color w:val="000000" w:themeColor="text1"/>
        </w:rPr>
        <w:t>Exploring the contributions of cross-sector collaborations to Disaster Risk Reduction in the city of Harare: an investigation through a drought response lens.</w:t>
      </w:r>
    </w:p>
    <w:p w14:paraId="69C80AC2" w14:textId="478A1919" w:rsidR="00112F64" w:rsidRPr="00BE2000" w:rsidRDefault="00112F64" w:rsidP="002B358B">
      <w:pPr>
        <w:spacing w:line="360" w:lineRule="auto"/>
        <w:ind w:left="567" w:hanging="567"/>
        <w:jc w:val="both"/>
        <w:rPr>
          <w:color w:val="000000" w:themeColor="text1"/>
        </w:rPr>
      </w:pPr>
      <w:bookmarkStart w:id="164" w:name="_Hlk212750557"/>
      <w:r w:rsidRPr="00197F1F">
        <w:rPr>
          <w:color w:val="000000" w:themeColor="text1"/>
          <w:lang w:val="it-IT"/>
        </w:rPr>
        <w:t xml:space="preserve">Odubo, T. C., &amp; Kosoe, E. A. (2024). </w:t>
      </w:r>
      <w:bookmarkEnd w:id="164"/>
      <w:r w:rsidRPr="00BE2000">
        <w:rPr>
          <w:color w:val="000000" w:themeColor="text1"/>
        </w:rPr>
        <w:t xml:space="preserve">Sources of air </w:t>
      </w:r>
      <w:r w:rsidR="00044B1B" w:rsidRPr="00BE2000">
        <w:rPr>
          <w:color w:val="000000" w:themeColor="text1"/>
        </w:rPr>
        <w:t>pollution</w:t>
      </w:r>
      <w:r w:rsidRPr="00BE2000">
        <w:rPr>
          <w:color w:val="000000" w:themeColor="text1"/>
        </w:rPr>
        <w:t>: impacts and solutions. In </w:t>
      </w:r>
      <w:r w:rsidRPr="00BE2000">
        <w:rPr>
          <w:i/>
          <w:iCs/>
          <w:color w:val="000000" w:themeColor="text1"/>
        </w:rPr>
        <w:t>Air pollutants in the context of one health: fundamentals, sources, and impacts</w:t>
      </w:r>
      <w:r w:rsidRPr="00BE2000">
        <w:rPr>
          <w:color w:val="000000" w:themeColor="text1"/>
        </w:rPr>
        <w:t> (pp. 75-121). Cham: Springer Nature Switzerland.</w:t>
      </w:r>
    </w:p>
    <w:p w14:paraId="3A51AA6A" w14:textId="77777777" w:rsidR="00112F64" w:rsidRPr="00BE2000" w:rsidRDefault="00112F64" w:rsidP="002B358B">
      <w:pPr>
        <w:spacing w:line="360" w:lineRule="auto"/>
        <w:ind w:left="567" w:hanging="567"/>
        <w:jc w:val="both"/>
        <w:rPr>
          <w:rFonts w:eastAsia="Calibri"/>
          <w:color w:val="000000" w:themeColor="text1"/>
        </w:rPr>
      </w:pPr>
      <w:bookmarkStart w:id="165" w:name="_Hlk210675698"/>
      <w:r w:rsidRPr="00BE2000">
        <w:rPr>
          <w:rFonts w:eastAsia="Calibri"/>
          <w:color w:val="000000" w:themeColor="text1"/>
        </w:rPr>
        <w:t xml:space="preserve">Randolph, G. F., &amp; Storper, M. (2023). </w:t>
      </w:r>
      <w:bookmarkEnd w:id="165"/>
      <w:r w:rsidRPr="00BE2000">
        <w:rPr>
          <w:rFonts w:eastAsia="Calibri"/>
          <w:color w:val="000000" w:themeColor="text1"/>
        </w:rPr>
        <w:t>Is urbanisation in the Global South fundamentally different? Comparative global urban analysis for the 21st century. </w:t>
      </w:r>
      <w:r w:rsidRPr="00BE2000">
        <w:rPr>
          <w:rFonts w:eastAsia="Calibri"/>
          <w:i/>
          <w:iCs/>
          <w:color w:val="000000" w:themeColor="text1"/>
        </w:rPr>
        <w:t>Urban Studies</w:t>
      </w:r>
      <w:r w:rsidRPr="00BE2000">
        <w:rPr>
          <w:rFonts w:eastAsia="Calibri"/>
          <w:color w:val="000000" w:themeColor="text1"/>
        </w:rPr>
        <w:t>, </w:t>
      </w:r>
      <w:r w:rsidRPr="00BE2000">
        <w:rPr>
          <w:rFonts w:eastAsia="Calibri"/>
          <w:i/>
          <w:iCs/>
          <w:color w:val="000000" w:themeColor="text1"/>
        </w:rPr>
        <w:t>60</w:t>
      </w:r>
      <w:r w:rsidRPr="00BE2000">
        <w:rPr>
          <w:rFonts w:eastAsia="Calibri"/>
          <w:color w:val="000000" w:themeColor="text1"/>
        </w:rPr>
        <w:t>(1), 3-25.</w:t>
      </w:r>
    </w:p>
    <w:p w14:paraId="6A037A99" w14:textId="77777777" w:rsidR="00112F64" w:rsidRPr="00197F1F" w:rsidRDefault="00112F64" w:rsidP="002B358B">
      <w:pPr>
        <w:spacing w:line="360" w:lineRule="auto"/>
        <w:ind w:left="567" w:hanging="567"/>
        <w:jc w:val="both"/>
        <w:rPr>
          <w:color w:val="000000" w:themeColor="text1"/>
          <w:lang w:val="it-IT"/>
        </w:rPr>
      </w:pPr>
      <w:r w:rsidRPr="00BE2000">
        <w:rPr>
          <w:color w:val="000000" w:themeColor="text1"/>
        </w:rPr>
        <w:t xml:space="preserve">Regional Town and Country Planning Act, ch. </w:t>
      </w:r>
      <w:r w:rsidRPr="00197F1F">
        <w:rPr>
          <w:color w:val="000000" w:themeColor="text1"/>
          <w:lang w:val="it-IT"/>
        </w:rPr>
        <w:t>(29:12)</w:t>
      </w:r>
    </w:p>
    <w:p w14:paraId="22833479" w14:textId="77777777" w:rsidR="00112F64" w:rsidRPr="00BE2000" w:rsidRDefault="00112F64" w:rsidP="002B358B">
      <w:pPr>
        <w:spacing w:line="360" w:lineRule="auto"/>
        <w:ind w:left="567" w:hanging="567"/>
        <w:jc w:val="both"/>
        <w:rPr>
          <w:color w:val="000000" w:themeColor="text1"/>
        </w:rPr>
      </w:pPr>
      <w:r w:rsidRPr="00197F1F">
        <w:rPr>
          <w:color w:val="000000" w:themeColor="text1"/>
          <w:lang w:val="it-IT"/>
        </w:rPr>
        <w:lastRenderedPageBreak/>
        <w:t xml:space="preserve">Rezvani, S. M., Falcão, M. J., Komljenovic, D., &amp; de Almeida, N. M. (2023). </w:t>
      </w:r>
      <w:r w:rsidRPr="00BE2000">
        <w:rPr>
          <w:color w:val="000000" w:themeColor="text1"/>
        </w:rPr>
        <w:t>A systematic literature review on urban resilience enabled with asset and disaster risk management approaches and GIS-based decision support tools. Applied Sciences, 13(4), 2223.</w:t>
      </w:r>
    </w:p>
    <w:p w14:paraId="1E80C739" w14:textId="77777777" w:rsidR="00112F64" w:rsidRPr="00BE2000" w:rsidRDefault="00112F64" w:rsidP="002B358B">
      <w:pPr>
        <w:spacing w:line="360" w:lineRule="auto"/>
        <w:ind w:left="567" w:hanging="567"/>
        <w:jc w:val="both"/>
        <w:rPr>
          <w:color w:val="000000" w:themeColor="text1"/>
        </w:rPr>
      </w:pPr>
      <w:bookmarkStart w:id="166" w:name="_Hlk212777335"/>
      <w:r w:rsidRPr="00BE2000">
        <w:rPr>
          <w:color w:val="000000" w:themeColor="text1"/>
        </w:rPr>
        <w:t>Siddiqua</w:t>
      </w:r>
      <w:bookmarkEnd w:id="166"/>
      <w:r w:rsidRPr="00BE2000">
        <w:rPr>
          <w:color w:val="000000" w:themeColor="text1"/>
        </w:rPr>
        <w:t>, A., Hahladakis, J. N., &amp; Al-Attiya, W. A. K. (2022). An overview of the environmental pollution and health effects associated with waste landfilling and open dumping. </w:t>
      </w:r>
      <w:r w:rsidRPr="00BE2000">
        <w:rPr>
          <w:i/>
          <w:iCs/>
          <w:color w:val="000000" w:themeColor="text1"/>
        </w:rPr>
        <w:t>Environmental Science and Pollution Research</w:t>
      </w:r>
      <w:r w:rsidRPr="00BE2000">
        <w:rPr>
          <w:color w:val="000000" w:themeColor="text1"/>
        </w:rPr>
        <w:t>, </w:t>
      </w:r>
      <w:r w:rsidRPr="00BE2000">
        <w:rPr>
          <w:i/>
          <w:iCs/>
          <w:color w:val="000000" w:themeColor="text1"/>
        </w:rPr>
        <w:t>29</w:t>
      </w:r>
      <w:r w:rsidRPr="00BE2000">
        <w:rPr>
          <w:color w:val="000000" w:themeColor="text1"/>
        </w:rPr>
        <w:t>(39), 58514-58536.</w:t>
      </w:r>
    </w:p>
    <w:p w14:paraId="4D679133"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Smeby Jr, L. C., &amp; Smeby Jr, L. C. (2021). Fire and Emergency Services Administration: Management and Leadership Practices, 3e: Management and Leadership Practices. Jones &amp; Bartlett Learning.</w:t>
      </w:r>
    </w:p>
    <w:p w14:paraId="193A33E9"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Sürücü, L., &amp; Maslakci, A. (2020). Validity and reliability in quantitative research. Business &amp; management studies: an international journal, 8(3), 2694-2726.</w:t>
      </w:r>
    </w:p>
    <w:p w14:paraId="68E63813"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Tanyanyiwa, V. I. (2023). The urban livelihoods of informal sector practitioners in Harare (Doctoral dissertation, University of the Free State).</w:t>
      </w:r>
    </w:p>
    <w:p w14:paraId="63022736"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The Standard | Nov. 13, 2016 </w:t>
      </w:r>
      <w:hyperlink r:id="rId36" w:history="1">
        <w:r w:rsidRPr="00BE2000">
          <w:rPr>
            <w:rStyle w:val="Hyperlink"/>
            <w:color w:val="000000" w:themeColor="text1"/>
          </w:rPr>
          <w:t>https://www.newsday.co.zw/thestandard/2016/11/13/horror-pomona-dumpsite-burns</w:t>
        </w:r>
      </w:hyperlink>
    </w:p>
    <w:p w14:paraId="64A73B8D"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Toriro, P. (2024). People-Centred Initiatives as a Response to Infrastructure Collapse in Harare. In Urban Infrastructure in Zimbabwe: Departures, Divergences and Convergences (pp. 181-199). Cham: Springer Nature Switzerland.</w:t>
      </w:r>
    </w:p>
    <w:p w14:paraId="7EA47081" w14:textId="77777777" w:rsidR="00112F64" w:rsidRPr="00BE2000" w:rsidRDefault="00112F64" w:rsidP="002B358B">
      <w:pPr>
        <w:spacing w:line="360" w:lineRule="auto"/>
        <w:ind w:left="567" w:hanging="567"/>
        <w:jc w:val="both"/>
        <w:rPr>
          <w:color w:val="000000" w:themeColor="text1"/>
        </w:rPr>
      </w:pPr>
      <w:r w:rsidRPr="00BE2000">
        <w:rPr>
          <w:rFonts w:eastAsia="Calibri"/>
          <w:color w:val="000000" w:themeColor="text1"/>
        </w:rPr>
        <w:t xml:space="preserve">UN Habitat. (2020). World urbanization prospects: The 2018 revision. United Nations Human Settlements Programme. DOI: </w:t>
      </w:r>
      <w:hyperlink r:id="rId37" w:history="1">
        <w:r w:rsidRPr="00BE2000">
          <w:rPr>
            <w:rFonts w:eastAsia="Calibri"/>
            <w:color w:val="000000" w:themeColor="text1"/>
            <w:u w:val="single"/>
          </w:rPr>
          <w:t>https://doi.org/10.18356/b9e995fe-en</w:t>
        </w:r>
      </w:hyperlink>
    </w:p>
    <w:p w14:paraId="057CEE5E"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UNDRR. (2015). Sendai Framework for Disaster Risk Reduction 2015–2030. United Nations Office for Disaster Risk Reduction. </w:t>
      </w:r>
      <w:hyperlink r:id="rId38" w:history="1">
        <w:r w:rsidRPr="00BE2000">
          <w:rPr>
            <w:rStyle w:val="Hyperlink"/>
            <w:color w:val="000000" w:themeColor="text1"/>
          </w:rPr>
          <w:t>https://www.undrr.org/publication/sendai-framework-disaster-risk-reduction-2015-2030</w:t>
        </w:r>
      </w:hyperlink>
    </w:p>
    <w:p w14:paraId="24D13609"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Urban councils Act Chapter 29:15</w:t>
      </w:r>
    </w:p>
    <w:p w14:paraId="0912BF5B" w14:textId="77777777" w:rsidR="00112F64" w:rsidRPr="00BE2000" w:rsidRDefault="00112F64" w:rsidP="002B358B">
      <w:pPr>
        <w:spacing w:line="360" w:lineRule="auto"/>
        <w:ind w:left="567" w:hanging="567"/>
        <w:jc w:val="both"/>
        <w:rPr>
          <w:color w:val="000000" w:themeColor="text1"/>
        </w:rPr>
      </w:pPr>
      <w:bookmarkStart w:id="167" w:name="_Hlk212908940"/>
      <w:r w:rsidRPr="00BE2000">
        <w:rPr>
          <w:color w:val="000000" w:themeColor="text1"/>
        </w:rPr>
        <w:t>Vambe</w:t>
      </w:r>
      <w:bookmarkEnd w:id="167"/>
      <w:r w:rsidRPr="00BE2000">
        <w:rPr>
          <w:color w:val="000000" w:themeColor="text1"/>
        </w:rPr>
        <w:t>, B., Saurombe, A., &amp; Kenny, L. R. (2021). Challenges and Opportunities of Implementing the SADC Legal and Institutional Framework for Disaster Risk Reduction During Cyclone Idai: Case of Zimbabwe and South Africa. Cyclones in Southern Africa: Volume 2: Foundational and Fundamental Topics, 133-150.</w:t>
      </w:r>
    </w:p>
    <w:p w14:paraId="2F43AF7F"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Walls, R., Cicione, A., Pharoah, R., Zweig, P., Smith, M., &amp; Antonellis, D. (2020). Fire safety engineering guideline for informal settlements: Towards practical solutions for a complex problem in South Africa. Stellenbosch University.</w:t>
      </w:r>
    </w:p>
    <w:p w14:paraId="52B05FC5" w14:textId="77777777" w:rsidR="00112F64" w:rsidRPr="00BE2000" w:rsidRDefault="00112F64" w:rsidP="002B358B">
      <w:pPr>
        <w:spacing w:line="360" w:lineRule="auto"/>
        <w:ind w:left="567" w:hanging="567"/>
        <w:jc w:val="both"/>
        <w:rPr>
          <w:color w:val="000000" w:themeColor="text1"/>
        </w:rPr>
      </w:pPr>
      <w:bookmarkStart w:id="168" w:name="_Hlk212748685"/>
      <w:r w:rsidRPr="00BE2000">
        <w:rPr>
          <w:color w:val="000000" w:themeColor="text1"/>
        </w:rPr>
        <w:lastRenderedPageBreak/>
        <w:t>Wandabwa</w:t>
      </w:r>
      <w:bookmarkEnd w:id="168"/>
      <w:r w:rsidRPr="00BE2000">
        <w:rPr>
          <w:color w:val="000000" w:themeColor="text1"/>
        </w:rPr>
        <w:t>, J., Expert, L. C., &amp; New, L. A. I. (2025) Quantifying the Risk and Economic Savings to The United States from a Comprehensive Fire Safety Compliance Program.</w:t>
      </w:r>
    </w:p>
    <w:p w14:paraId="5356F117" w14:textId="77777777" w:rsidR="00112F64" w:rsidRPr="00BE2000" w:rsidRDefault="00112F64" w:rsidP="002B358B">
      <w:pPr>
        <w:spacing w:line="360" w:lineRule="auto"/>
        <w:ind w:left="567" w:hanging="567"/>
        <w:jc w:val="both"/>
        <w:rPr>
          <w:color w:val="000000" w:themeColor="text1"/>
        </w:rPr>
      </w:pPr>
      <w:bookmarkStart w:id="169" w:name="_Hlk212959948"/>
      <w:r w:rsidRPr="00BE2000">
        <w:rPr>
          <w:color w:val="000000" w:themeColor="text1"/>
        </w:rPr>
        <w:t>Williams</w:t>
      </w:r>
      <w:bookmarkEnd w:id="169"/>
      <w:r w:rsidRPr="00BE2000">
        <w:rPr>
          <w:color w:val="000000" w:themeColor="text1"/>
        </w:rPr>
        <w:t>, C. R., Wolcott, M. D., Minshew, L. M., Bentley, A., &amp; Bell, L. (2021). A qualitative preceptor development needs assessment to inform program design and effectiveness. American Journal of Pharmaceutical Education, 85(10), 8450.</w:t>
      </w:r>
    </w:p>
    <w:p w14:paraId="496BE81B" w14:textId="77777777" w:rsidR="00112F64" w:rsidRPr="00BE2000" w:rsidRDefault="00112F64" w:rsidP="002B358B">
      <w:pPr>
        <w:spacing w:line="360" w:lineRule="auto"/>
        <w:ind w:left="567" w:hanging="567"/>
        <w:jc w:val="both"/>
        <w:rPr>
          <w:color w:val="000000" w:themeColor="text1"/>
        </w:rPr>
      </w:pPr>
      <w:bookmarkStart w:id="170" w:name="_Hlk212737327"/>
      <w:r w:rsidRPr="00BE2000">
        <w:rPr>
          <w:color w:val="000000" w:themeColor="text1"/>
        </w:rPr>
        <w:t>Zerbo</w:t>
      </w:r>
      <w:bookmarkEnd w:id="170"/>
      <w:r w:rsidRPr="00BE2000">
        <w:rPr>
          <w:color w:val="000000" w:themeColor="text1"/>
        </w:rPr>
        <w:t xml:space="preserve">, A., Delgado, R.C., González, P.A., (2020). Vulnerability and everyday health risks of urban informal settlements in Sub-Saharan Africa </w:t>
      </w:r>
    </w:p>
    <w:p w14:paraId="4BB42B1A" w14:textId="77777777" w:rsidR="00112F64" w:rsidRPr="00BE2000" w:rsidRDefault="00112F64" w:rsidP="002B358B">
      <w:pPr>
        <w:spacing w:line="360" w:lineRule="auto"/>
        <w:ind w:left="567" w:hanging="567"/>
        <w:jc w:val="both"/>
        <w:rPr>
          <w:color w:val="000000" w:themeColor="text1"/>
        </w:rPr>
      </w:pPr>
      <w:bookmarkStart w:id="171" w:name="_Hlk212922502"/>
      <w:r w:rsidRPr="00197F1F">
        <w:rPr>
          <w:color w:val="000000" w:themeColor="text1"/>
          <w:lang w:val="it-IT"/>
        </w:rPr>
        <w:t xml:space="preserve">Zhai, L., &amp; Lee, J. E. (2024). </w:t>
      </w:r>
      <w:bookmarkEnd w:id="171"/>
      <w:r w:rsidRPr="00BE2000">
        <w:rPr>
          <w:color w:val="000000" w:themeColor="text1"/>
        </w:rPr>
        <w:t>Investigating vulnerability, adaptation, and resilience: a comprehensive review within the context of climate change. Atmosphere, 15(4), 474.</w:t>
      </w:r>
    </w:p>
    <w:p w14:paraId="59E64F5F"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Zhakata, I (August 17, 2025) Glen View complex gutted by fire again. </w:t>
      </w:r>
      <w:hyperlink r:id="rId39" w:history="1">
        <w:r w:rsidRPr="00BE2000">
          <w:rPr>
            <w:rStyle w:val="Hyperlink"/>
            <w:color w:val="000000" w:themeColor="text1"/>
          </w:rPr>
          <w:t>https://www.heraldonline.co.zw/glen-view-complex-gutted-by-fire-again/</w:t>
        </w:r>
      </w:hyperlink>
    </w:p>
    <w:p w14:paraId="737FE1ED" w14:textId="77777777" w:rsidR="00112F64" w:rsidRPr="00BE2000" w:rsidRDefault="00112F64" w:rsidP="002B358B">
      <w:pPr>
        <w:spacing w:line="360" w:lineRule="auto"/>
        <w:ind w:left="567" w:hanging="567"/>
        <w:jc w:val="both"/>
        <w:rPr>
          <w:color w:val="000000" w:themeColor="text1"/>
        </w:rPr>
      </w:pPr>
      <w:bookmarkStart w:id="172" w:name="_Hlk212905782"/>
      <w:bookmarkStart w:id="173" w:name="_Hlk212968613"/>
      <w:r w:rsidRPr="00BE2000">
        <w:rPr>
          <w:color w:val="000000" w:themeColor="text1"/>
        </w:rPr>
        <w:t>Zhakata</w:t>
      </w:r>
      <w:bookmarkEnd w:id="172"/>
      <w:r w:rsidRPr="00BE2000">
        <w:rPr>
          <w:color w:val="000000" w:themeColor="text1"/>
        </w:rPr>
        <w:t xml:space="preserve">, I </w:t>
      </w:r>
      <w:bookmarkEnd w:id="173"/>
      <w:r w:rsidRPr="00BE2000">
        <w:rPr>
          <w:color w:val="000000" w:themeColor="text1"/>
        </w:rPr>
        <w:t xml:space="preserve">(October 16, 2024) Council intensifies fire compliance inspections </w:t>
      </w:r>
      <w:hyperlink r:id="rId40" w:history="1">
        <w:r w:rsidRPr="00BE2000">
          <w:rPr>
            <w:rStyle w:val="Hyperlink"/>
            <w:color w:val="000000" w:themeColor="text1"/>
          </w:rPr>
          <w:t>https://www.heraldonline.co.zw/council-intensifies-fire-compliance-inspections/</w:t>
        </w:r>
      </w:hyperlink>
    </w:p>
    <w:p w14:paraId="0C0B28F4" w14:textId="77777777" w:rsidR="00112F64" w:rsidRPr="00BE2000" w:rsidRDefault="00112F64" w:rsidP="002B358B">
      <w:pPr>
        <w:spacing w:line="360" w:lineRule="auto"/>
        <w:ind w:left="567" w:hanging="567"/>
        <w:jc w:val="both"/>
        <w:rPr>
          <w:color w:val="000000" w:themeColor="text1"/>
        </w:rPr>
      </w:pPr>
      <w:bookmarkStart w:id="174" w:name="_Hlk212907834"/>
      <w:bookmarkStart w:id="175" w:name="_Hlk212821816"/>
      <w:r w:rsidRPr="00BE2000">
        <w:rPr>
          <w:color w:val="000000" w:themeColor="text1"/>
        </w:rPr>
        <w:t>Zhang, C. (2023)</w:t>
      </w:r>
      <w:bookmarkEnd w:id="174"/>
      <w:r w:rsidRPr="00BE2000">
        <w:rPr>
          <w:color w:val="000000" w:themeColor="text1"/>
        </w:rPr>
        <w:t xml:space="preserve">. </w:t>
      </w:r>
      <w:bookmarkEnd w:id="175"/>
      <w:r w:rsidRPr="00BE2000">
        <w:rPr>
          <w:color w:val="000000" w:themeColor="text1"/>
        </w:rPr>
        <w:t>Review of structural fire hazards, challenges, and prevention strategies. </w:t>
      </w:r>
      <w:r w:rsidRPr="00BE2000">
        <w:rPr>
          <w:i/>
          <w:iCs/>
          <w:color w:val="000000" w:themeColor="text1"/>
        </w:rPr>
        <w:t>Fire</w:t>
      </w:r>
      <w:r w:rsidRPr="00BE2000">
        <w:rPr>
          <w:color w:val="000000" w:themeColor="text1"/>
        </w:rPr>
        <w:t>, </w:t>
      </w:r>
      <w:r w:rsidRPr="00BE2000">
        <w:rPr>
          <w:i/>
          <w:iCs/>
          <w:color w:val="000000" w:themeColor="text1"/>
        </w:rPr>
        <w:t>6</w:t>
      </w:r>
      <w:r w:rsidRPr="00BE2000">
        <w:rPr>
          <w:color w:val="000000" w:themeColor="text1"/>
        </w:rPr>
        <w:t>(4), 137.</w:t>
      </w:r>
    </w:p>
    <w:p w14:paraId="232EC2D4"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Zhang, Y., Zhang, X., &amp; Huang, X. (2023). Design a safe firefighting time (SFT) for major fire disaster emergency response. International Journal of Disaster Risk Reduction, 88, 103606.</w:t>
      </w:r>
    </w:p>
    <w:p w14:paraId="53F4FC9B" w14:textId="77777777" w:rsidR="00112F64" w:rsidRPr="00BE2000" w:rsidRDefault="00112F64" w:rsidP="002B358B">
      <w:pPr>
        <w:spacing w:line="360" w:lineRule="auto"/>
        <w:ind w:left="567" w:hanging="567"/>
        <w:jc w:val="both"/>
        <w:rPr>
          <w:color w:val="000000" w:themeColor="text1"/>
        </w:rPr>
      </w:pPr>
      <w:r w:rsidRPr="00BE2000">
        <w:rPr>
          <w:color w:val="000000" w:themeColor="text1"/>
        </w:rPr>
        <w:t xml:space="preserve">Zuze M, (Oct. 18, 2024). Newsday. Mbare Fire: Tragic reminder to safeguard informal sector. </w:t>
      </w:r>
      <w:hyperlink r:id="rId41" w:history="1">
        <w:r w:rsidRPr="00BE2000">
          <w:rPr>
            <w:rStyle w:val="Hyperlink"/>
            <w:color w:val="000000" w:themeColor="text1"/>
          </w:rPr>
          <w:t>https://www</w:t>
        </w:r>
        <w:bookmarkStart w:id="176" w:name="_Hlk212967989"/>
        <w:r w:rsidRPr="00BE2000">
          <w:rPr>
            <w:rStyle w:val="Hyperlink"/>
            <w:color w:val="000000" w:themeColor="text1"/>
          </w:rPr>
          <w:t>.newsday.</w:t>
        </w:r>
        <w:bookmarkEnd w:id="176"/>
        <w:r w:rsidRPr="00BE2000">
          <w:rPr>
            <w:rStyle w:val="Hyperlink"/>
            <w:color w:val="000000" w:themeColor="text1"/>
          </w:rPr>
          <w:t>co.zw/theindependent/business-digest/article/200033783/mbare-fire-tragic-reminder-to-safeguard-informal-sector</w:t>
        </w:r>
      </w:hyperlink>
    </w:p>
    <w:p w14:paraId="0A0B8B5D" w14:textId="77777777" w:rsidR="006B294F" w:rsidRPr="00BE2000" w:rsidRDefault="006B294F" w:rsidP="002B358B">
      <w:pPr>
        <w:jc w:val="both"/>
        <w:rPr>
          <w:b/>
          <w:bCs/>
          <w:color w:val="000000" w:themeColor="text1"/>
          <w:lang w:val="en-GB"/>
        </w:rPr>
      </w:pPr>
    </w:p>
    <w:p w14:paraId="0779C0EF" w14:textId="77777777" w:rsidR="006B294F" w:rsidRPr="00BE2000" w:rsidRDefault="006B294F" w:rsidP="002B358B">
      <w:pPr>
        <w:jc w:val="both"/>
        <w:rPr>
          <w:b/>
          <w:bCs/>
          <w:color w:val="000000" w:themeColor="text1"/>
          <w:lang w:val="en-GB"/>
        </w:rPr>
      </w:pPr>
    </w:p>
    <w:p w14:paraId="336B2FD5" w14:textId="77777777" w:rsidR="006B294F" w:rsidRPr="00BE2000" w:rsidRDefault="006B294F" w:rsidP="002B358B">
      <w:pPr>
        <w:jc w:val="both"/>
        <w:rPr>
          <w:b/>
          <w:bCs/>
          <w:color w:val="000000" w:themeColor="text1"/>
          <w:lang w:val="en-GB"/>
        </w:rPr>
      </w:pPr>
    </w:p>
    <w:p w14:paraId="2EEDCAFC" w14:textId="77777777" w:rsidR="006B294F" w:rsidRPr="00BE2000" w:rsidRDefault="006B294F" w:rsidP="002B358B">
      <w:pPr>
        <w:jc w:val="both"/>
        <w:rPr>
          <w:b/>
          <w:bCs/>
          <w:color w:val="000000" w:themeColor="text1"/>
          <w:lang w:val="en-GB"/>
        </w:rPr>
      </w:pPr>
    </w:p>
    <w:p w14:paraId="1CED0747" w14:textId="77777777" w:rsidR="006B294F" w:rsidRPr="00BE2000" w:rsidRDefault="006B294F" w:rsidP="002B358B">
      <w:pPr>
        <w:jc w:val="both"/>
        <w:rPr>
          <w:b/>
          <w:bCs/>
          <w:color w:val="000000" w:themeColor="text1"/>
          <w:lang w:val="en-GB"/>
        </w:rPr>
      </w:pPr>
    </w:p>
    <w:p w14:paraId="57E0B5CE" w14:textId="77777777" w:rsidR="006B294F" w:rsidRPr="00BE2000" w:rsidRDefault="006B294F" w:rsidP="002B358B">
      <w:pPr>
        <w:jc w:val="both"/>
        <w:rPr>
          <w:b/>
          <w:bCs/>
          <w:color w:val="000000" w:themeColor="text1"/>
          <w:lang w:val="en-GB"/>
        </w:rPr>
      </w:pPr>
    </w:p>
    <w:p w14:paraId="68D1E339" w14:textId="77777777" w:rsidR="006B294F" w:rsidRPr="00BE2000" w:rsidRDefault="006B294F" w:rsidP="002B358B">
      <w:pPr>
        <w:jc w:val="both"/>
        <w:rPr>
          <w:b/>
          <w:bCs/>
          <w:color w:val="000000" w:themeColor="text1"/>
          <w:lang w:val="en-GB"/>
        </w:rPr>
      </w:pPr>
    </w:p>
    <w:p w14:paraId="3FBC3D87" w14:textId="77777777" w:rsidR="006B294F" w:rsidRPr="00BE2000" w:rsidRDefault="006B294F" w:rsidP="002B358B">
      <w:pPr>
        <w:jc w:val="both"/>
        <w:rPr>
          <w:b/>
          <w:bCs/>
          <w:color w:val="000000" w:themeColor="text1"/>
          <w:lang w:val="en-GB"/>
        </w:rPr>
      </w:pPr>
    </w:p>
    <w:p w14:paraId="66619460" w14:textId="77777777" w:rsidR="006B294F" w:rsidRPr="00BE2000" w:rsidRDefault="006B294F" w:rsidP="002B358B">
      <w:pPr>
        <w:jc w:val="both"/>
        <w:rPr>
          <w:b/>
          <w:bCs/>
          <w:color w:val="000000" w:themeColor="text1"/>
          <w:lang w:val="en-GB"/>
        </w:rPr>
      </w:pPr>
    </w:p>
    <w:p w14:paraId="59C4A7E8" w14:textId="77777777" w:rsidR="006B294F" w:rsidRPr="00BE2000" w:rsidRDefault="006B294F" w:rsidP="002B358B">
      <w:pPr>
        <w:jc w:val="both"/>
        <w:rPr>
          <w:b/>
          <w:bCs/>
          <w:color w:val="000000" w:themeColor="text1"/>
          <w:lang w:val="en-GB"/>
        </w:rPr>
      </w:pPr>
    </w:p>
    <w:p w14:paraId="68BB49C4" w14:textId="77777777" w:rsidR="006B294F" w:rsidRPr="00BE2000" w:rsidRDefault="006B294F" w:rsidP="002B358B">
      <w:pPr>
        <w:jc w:val="both"/>
        <w:rPr>
          <w:b/>
          <w:bCs/>
          <w:color w:val="000000" w:themeColor="text1"/>
          <w:lang w:val="en-GB"/>
        </w:rPr>
      </w:pPr>
    </w:p>
    <w:p w14:paraId="1DA0468A" w14:textId="06FCA38B" w:rsidR="0075115E" w:rsidRPr="00BE2000" w:rsidRDefault="0075115E" w:rsidP="006C3EB9">
      <w:pPr>
        <w:pStyle w:val="Heading1"/>
      </w:pPr>
      <w:bookmarkStart w:id="177" w:name="_Toc215652954"/>
      <w:r w:rsidRPr="00BE2000">
        <w:lastRenderedPageBreak/>
        <w:t>Appendices</w:t>
      </w:r>
      <w:bookmarkEnd w:id="177"/>
    </w:p>
    <w:p w14:paraId="28BEE531" w14:textId="77777777" w:rsidR="0075115E" w:rsidRPr="00BE2000" w:rsidRDefault="0075115E" w:rsidP="006C3EB9">
      <w:pPr>
        <w:pStyle w:val="Heading1"/>
      </w:pPr>
      <w:bookmarkStart w:id="178" w:name="_Toc215652955"/>
      <w:r w:rsidRPr="00BE2000">
        <w:t>Appendix A,</w:t>
      </w:r>
      <w:bookmarkEnd w:id="178"/>
      <w:r w:rsidRPr="00BE2000">
        <w:t xml:space="preserve"> </w:t>
      </w:r>
    </w:p>
    <w:p w14:paraId="3E6B571A" w14:textId="77777777" w:rsidR="0075115E" w:rsidRPr="00BE2000" w:rsidRDefault="0075115E" w:rsidP="002B358B">
      <w:pPr>
        <w:spacing w:line="360" w:lineRule="auto"/>
        <w:jc w:val="both"/>
        <w:rPr>
          <w:color w:val="000000" w:themeColor="text1"/>
          <w:lang w:val="en-GB"/>
        </w:rPr>
      </w:pPr>
      <w:r w:rsidRPr="00BE2000">
        <w:rPr>
          <w:color w:val="000000" w:themeColor="text1"/>
          <w:lang w:val="en-GB"/>
        </w:rPr>
        <w:t>Confirmation Letter from Bindura University of Science Education</w:t>
      </w:r>
    </w:p>
    <w:p w14:paraId="36F9532B" w14:textId="77777777" w:rsidR="0075115E" w:rsidRPr="00BE2000" w:rsidRDefault="0075115E" w:rsidP="002B358B">
      <w:pPr>
        <w:spacing w:line="360" w:lineRule="auto"/>
        <w:jc w:val="both"/>
        <w:rPr>
          <w:b/>
          <w:bCs/>
          <w:color w:val="000000" w:themeColor="text1"/>
          <w:lang w:val="en-GB"/>
        </w:rPr>
      </w:pPr>
      <w:r w:rsidRPr="00BE2000">
        <w:rPr>
          <w:noProof/>
          <w:color w:val="000000" w:themeColor="text1"/>
        </w:rPr>
        <w:drawing>
          <wp:inline distT="0" distB="0" distL="0" distR="0" wp14:anchorId="6638E3CD" wp14:editId="08FBD6B8">
            <wp:extent cx="4357937" cy="6165615"/>
            <wp:effectExtent l="0" t="0" r="5080" b="6985"/>
            <wp:docPr id="18608078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67362" cy="6178950"/>
                    </a:xfrm>
                    <a:prstGeom prst="rect">
                      <a:avLst/>
                    </a:prstGeom>
                    <a:noFill/>
                    <a:ln>
                      <a:noFill/>
                    </a:ln>
                  </pic:spPr>
                </pic:pic>
              </a:graphicData>
            </a:graphic>
          </wp:inline>
        </w:drawing>
      </w:r>
    </w:p>
    <w:p w14:paraId="683B4FB6" w14:textId="77777777" w:rsidR="00CC7622" w:rsidRPr="00BE2000" w:rsidRDefault="00CC7622" w:rsidP="002B358B">
      <w:pPr>
        <w:jc w:val="both"/>
        <w:rPr>
          <w:b/>
          <w:bCs/>
          <w:color w:val="000000" w:themeColor="text1"/>
        </w:rPr>
      </w:pPr>
      <w:bookmarkStart w:id="179" w:name="_Hlk211450604"/>
    </w:p>
    <w:p w14:paraId="01C0CA76" w14:textId="77777777" w:rsidR="00CC7622" w:rsidRPr="00BE2000" w:rsidRDefault="00CC7622" w:rsidP="002B358B">
      <w:pPr>
        <w:jc w:val="both"/>
        <w:rPr>
          <w:b/>
          <w:bCs/>
          <w:color w:val="000000" w:themeColor="text1"/>
        </w:rPr>
      </w:pPr>
    </w:p>
    <w:p w14:paraId="60C63172" w14:textId="77777777" w:rsidR="00CC7622" w:rsidRPr="00BE2000" w:rsidRDefault="00CC7622" w:rsidP="002B358B">
      <w:pPr>
        <w:jc w:val="both"/>
        <w:rPr>
          <w:b/>
          <w:bCs/>
          <w:color w:val="000000" w:themeColor="text1"/>
        </w:rPr>
      </w:pPr>
    </w:p>
    <w:p w14:paraId="3B1E3812" w14:textId="77777777" w:rsidR="00E5532F" w:rsidRDefault="00E5532F" w:rsidP="00044B1B">
      <w:pPr>
        <w:jc w:val="center"/>
        <w:rPr>
          <w:b/>
          <w:bCs/>
          <w:color w:val="000000" w:themeColor="text1"/>
        </w:rPr>
      </w:pPr>
    </w:p>
    <w:p w14:paraId="59D49B97" w14:textId="77777777" w:rsidR="00E5532F" w:rsidRDefault="00E5532F" w:rsidP="00044B1B">
      <w:pPr>
        <w:jc w:val="center"/>
        <w:rPr>
          <w:b/>
          <w:bCs/>
          <w:color w:val="000000" w:themeColor="text1"/>
        </w:rPr>
      </w:pPr>
    </w:p>
    <w:p w14:paraId="15F8607B" w14:textId="7359DF33" w:rsidR="0075115E" w:rsidRPr="00BE2000" w:rsidRDefault="0075115E" w:rsidP="00044B1B">
      <w:pPr>
        <w:jc w:val="center"/>
        <w:rPr>
          <w:b/>
          <w:bCs/>
          <w:color w:val="000000" w:themeColor="text1"/>
        </w:rPr>
      </w:pPr>
      <w:r w:rsidRPr="00BE2000">
        <w:rPr>
          <w:b/>
          <w:bCs/>
          <w:color w:val="000000" w:themeColor="text1"/>
        </w:rPr>
        <w:lastRenderedPageBreak/>
        <w:t>Appendix B</w:t>
      </w:r>
    </w:p>
    <w:bookmarkEnd w:id="179"/>
    <w:p w14:paraId="749A0993" w14:textId="77777777" w:rsidR="0075115E" w:rsidRPr="00BE2000" w:rsidRDefault="0075115E" w:rsidP="002B358B">
      <w:pPr>
        <w:spacing w:line="360" w:lineRule="auto"/>
        <w:jc w:val="both"/>
        <w:rPr>
          <w:color w:val="000000" w:themeColor="text1"/>
          <w:lang w:val="en-GB"/>
        </w:rPr>
      </w:pPr>
      <w:r w:rsidRPr="00BE2000">
        <w:rPr>
          <w:color w:val="000000" w:themeColor="text1"/>
          <w:lang w:val="en-GB"/>
        </w:rPr>
        <w:t>Application to conduct research within the City of Harare</w:t>
      </w:r>
    </w:p>
    <w:p w14:paraId="546E43C3" w14:textId="77777777" w:rsidR="0075115E" w:rsidRPr="00BE2000" w:rsidRDefault="0075115E" w:rsidP="002B358B">
      <w:pPr>
        <w:spacing w:line="360" w:lineRule="auto"/>
        <w:jc w:val="both"/>
        <w:rPr>
          <w:b/>
          <w:bCs/>
          <w:color w:val="000000" w:themeColor="text1"/>
          <w:lang w:val="en-GB"/>
        </w:rPr>
      </w:pPr>
      <w:r w:rsidRPr="00BE2000">
        <w:rPr>
          <w:noProof/>
          <w:color w:val="000000" w:themeColor="text1"/>
        </w:rPr>
        <w:drawing>
          <wp:inline distT="0" distB="0" distL="0" distR="0" wp14:anchorId="15C51B18" wp14:editId="123B4B44">
            <wp:extent cx="4769515" cy="6737350"/>
            <wp:effectExtent l="0" t="0" r="0" b="6350"/>
            <wp:docPr id="100235684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71009" cy="6739460"/>
                    </a:xfrm>
                    <a:prstGeom prst="rect">
                      <a:avLst/>
                    </a:prstGeom>
                    <a:noFill/>
                    <a:ln>
                      <a:noFill/>
                    </a:ln>
                  </pic:spPr>
                </pic:pic>
              </a:graphicData>
            </a:graphic>
          </wp:inline>
        </w:drawing>
      </w:r>
    </w:p>
    <w:p w14:paraId="2692B289" w14:textId="77777777" w:rsidR="00CC7622" w:rsidRPr="00BE2000" w:rsidRDefault="0075115E" w:rsidP="002B358B">
      <w:pPr>
        <w:jc w:val="both"/>
        <w:rPr>
          <w:color w:val="000000" w:themeColor="text1"/>
        </w:rPr>
      </w:pPr>
      <w:r w:rsidRPr="00BE2000">
        <w:rPr>
          <w:color w:val="000000" w:themeColor="text1"/>
        </w:rPr>
        <w:t xml:space="preserve"> </w:t>
      </w:r>
    </w:p>
    <w:p w14:paraId="4B29008C" w14:textId="77777777" w:rsidR="00CC7622" w:rsidRPr="00BE2000" w:rsidRDefault="00CC7622" w:rsidP="002B358B">
      <w:pPr>
        <w:jc w:val="both"/>
        <w:rPr>
          <w:color w:val="000000" w:themeColor="text1"/>
        </w:rPr>
      </w:pPr>
    </w:p>
    <w:p w14:paraId="121B204A" w14:textId="77777777" w:rsidR="00E5532F" w:rsidRDefault="00E5532F" w:rsidP="00044B1B">
      <w:pPr>
        <w:jc w:val="center"/>
        <w:rPr>
          <w:b/>
          <w:bCs/>
          <w:color w:val="000000" w:themeColor="text1"/>
        </w:rPr>
      </w:pPr>
    </w:p>
    <w:p w14:paraId="1D8E6EE1" w14:textId="77777777" w:rsidR="00E5532F" w:rsidRDefault="00E5532F" w:rsidP="00044B1B">
      <w:pPr>
        <w:jc w:val="center"/>
        <w:rPr>
          <w:b/>
          <w:bCs/>
          <w:color w:val="000000" w:themeColor="text1"/>
        </w:rPr>
      </w:pPr>
    </w:p>
    <w:p w14:paraId="547427A4" w14:textId="77777777" w:rsidR="00E5532F" w:rsidRDefault="00E5532F" w:rsidP="00044B1B">
      <w:pPr>
        <w:jc w:val="center"/>
        <w:rPr>
          <w:b/>
          <w:bCs/>
          <w:color w:val="000000" w:themeColor="text1"/>
        </w:rPr>
      </w:pPr>
    </w:p>
    <w:p w14:paraId="252A7751" w14:textId="41DCF372" w:rsidR="0075115E" w:rsidRPr="00044B1B" w:rsidRDefault="0075115E" w:rsidP="00044B1B">
      <w:pPr>
        <w:jc w:val="center"/>
        <w:rPr>
          <w:b/>
          <w:bCs/>
          <w:color w:val="000000" w:themeColor="text1"/>
        </w:rPr>
      </w:pPr>
      <w:bookmarkStart w:id="180" w:name="_GoBack"/>
      <w:bookmarkEnd w:id="180"/>
      <w:r w:rsidRPr="00044B1B">
        <w:rPr>
          <w:b/>
          <w:bCs/>
          <w:color w:val="000000" w:themeColor="text1"/>
        </w:rPr>
        <w:lastRenderedPageBreak/>
        <w:t>Appendix C</w:t>
      </w:r>
    </w:p>
    <w:p w14:paraId="69303258" w14:textId="77777777" w:rsidR="0075115E" w:rsidRPr="00BE2000" w:rsidRDefault="0075115E" w:rsidP="002B358B">
      <w:pPr>
        <w:jc w:val="both"/>
        <w:rPr>
          <w:color w:val="000000" w:themeColor="text1"/>
        </w:rPr>
      </w:pPr>
      <w:r w:rsidRPr="00BE2000">
        <w:rPr>
          <w:color w:val="000000" w:themeColor="text1"/>
        </w:rPr>
        <w:t>Authority to undertake research</w:t>
      </w:r>
    </w:p>
    <w:p w14:paraId="79084497" w14:textId="77777777" w:rsidR="0075115E" w:rsidRPr="00BE2000" w:rsidRDefault="0075115E" w:rsidP="002B358B">
      <w:pPr>
        <w:jc w:val="both"/>
        <w:rPr>
          <w:bCs/>
        </w:rPr>
      </w:pPr>
      <w:r w:rsidRPr="00BE2000">
        <w:rPr>
          <w:noProof/>
        </w:rPr>
        <w:drawing>
          <wp:inline distT="0" distB="0" distL="0" distR="0" wp14:anchorId="1C9D22FA" wp14:editId="449CDAC6">
            <wp:extent cx="4016423" cy="6016625"/>
            <wp:effectExtent l="0" t="0" r="3175" b="3175"/>
            <wp:docPr id="1652697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20618" cy="6022909"/>
                    </a:xfrm>
                    <a:prstGeom prst="rect">
                      <a:avLst/>
                    </a:prstGeom>
                    <a:noFill/>
                    <a:ln>
                      <a:noFill/>
                    </a:ln>
                  </pic:spPr>
                </pic:pic>
              </a:graphicData>
            </a:graphic>
          </wp:inline>
        </w:drawing>
      </w:r>
    </w:p>
    <w:p w14:paraId="4D3C40E7" w14:textId="77777777" w:rsidR="0075115E" w:rsidRPr="00BE2000" w:rsidRDefault="0075115E" w:rsidP="00394501">
      <w:pPr>
        <w:pStyle w:val="Heading2"/>
      </w:pPr>
    </w:p>
    <w:p w14:paraId="0370418F" w14:textId="77777777" w:rsidR="0075115E" w:rsidRDefault="0075115E" w:rsidP="002B358B">
      <w:pPr>
        <w:jc w:val="both"/>
        <w:rPr>
          <w:color w:val="000000" w:themeColor="text1"/>
        </w:rPr>
      </w:pPr>
    </w:p>
    <w:p w14:paraId="1D76BACA" w14:textId="77777777" w:rsidR="00B118CD" w:rsidRDefault="00B118CD" w:rsidP="002B358B">
      <w:pPr>
        <w:jc w:val="both"/>
        <w:rPr>
          <w:color w:val="000000" w:themeColor="text1"/>
        </w:rPr>
      </w:pPr>
    </w:p>
    <w:p w14:paraId="6EB2F716" w14:textId="77777777" w:rsidR="00B118CD" w:rsidRDefault="00B118CD" w:rsidP="002B358B">
      <w:pPr>
        <w:jc w:val="both"/>
        <w:rPr>
          <w:color w:val="000000" w:themeColor="text1"/>
        </w:rPr>
      </w:pPr>
    </w:p>
    <w:p w14:paraId="2B8F044C" w14:textId="77777777" w:rsidR="00B118CD" w:rsidRDefault="00B118CD" w:rsidP="002B358B">
      <w:pPr>
        <w:jc w:val="both"/>
        <w:rPr>
          <w:color w:val="000000" w:themeColor="text1"/>
        </w:rPr>
      </w:pPr>
    </w:p>
    <w:p w14:paraId="4E9A9895" w14:textId="77777777" w:rsidR="00B118CD" w:rsidRPr="00BE2000" w:rsidRDefault="00B118CD" w:rsidP="002B358B">
      <w:pPr>
        <w:jc w:val="both"/>
        <w:rPr>
          <w:color w:val="000000" w:themeColor="text1"/>
        </w:rPr>
      </w:pPr>
    </w:p>
    <w:p w14:paraId="453CFBA3" w14:textId="77777777" w:rsidR="00CC7622" w:rsidRDefault="00CC7622" w:rsidP="002B358B">
      <w:pPr>
        <w:jc w:val="both"/>
        <w:rPr>
          <w:color w:val="000000" w:themeColor="text1"/>
        </w:rPr>
      </w:pPr>
    </w:p>
    <w:p w14:paraId="715A8B99" w14:textId="77777777" w:rsidR="00B118CD" w:rsidRDefault="00B118CD" w:rsidP="002B358B">
      <w:pPr>
        <w:jc w:val="both"/>
        <w:rPr>
          <w:color w:val="000000" w:themeColor="text1"/>
        </w:rPr>
      </w:pPr>
    </w:p>
    <w:p w14:paraId="5A3BCB6B" w14:textId="77777777" w:rsidR="00B118CD" w:rsidRDefault="00B118CD" w:rsidP="002B358B">
      <w:pPr>
        <w:jc w:val="both"/>
        <w:rPr>
          <w:color w:val="000000" w:themeColor="text1"/>
        </w:rPr>
      </w:pPr>
    </w:p>
    <w:p w14:paraId="31FDA98A" w14:textId="77777777" w:rsidR="00B118CD" w:rsidRDefault="00B118CD" w:rsidP="002B358B">
      <w:pPr>
        <w:jc w:val="both"/>
        <w:rPr>
          <w:color w:val="000000" w:themeColor="text1"/>
        </w:rPr>
      </w:pPr>
    </w:p>
    <w:p w14:paraId="49C7AFEC" w14:textId="77777777" w:rsidR="00B118CD" w:rsidRPr="00BE2000" w:rsidRDefault="00B118CD" w:rsidP="002B358B">
      <w:pPr>
        <w:jc w:val="both"/>
        <w:rPr>
          <w:color w:val="000000" w:themeColor="text1"/>
        </w:rPr>
      </w:pPr>
    </w:p>
    <w:p w14:paraId="10BD84B4" w14:textId="77777777" w:rsidR="00B118CD" w:rsidRDefault="0075115E" w:rsidP="006C3EB9">
      <w:pPr>
        <w:pStyle w:val="Heading1"/>
        <w:rPr>
          <w:kern w:val="0"/>
          <w14:ligatures w14:val="none"/>
        </w:rPr>
      </w:pPr>
      <w:bookmarkStart w:id="181" w:name="_Toc215652956"/>
      <w:r w:rsidRPr="00BE2000">
        <w:rPr>
          <w:bCs/>
        </w:rPr>
        <w:t xml:space="preserve">Appendix D, </w:t>
      </w:r>
      <w:r w:rsidRPr="00BE2000">
        <w:t>Research Questionnaire</w:t>
      </w:r>
      <w:bookmarkEnd w:id="181"/>
      <w:r w:rsidRPr="00BE2000">
        <w:rPr>
          <w:kern w:val="0"/>
          <w14:ligatures w14:val="none"/>
        </w:rPr>
        <w:t xml:space="preserve">     </w:t>
      </w:r>
    </w:p>
    <w:p w14:paraId="7CA0A60E"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ASSESSMENT OF THE IMPACT OF FIRE HAZARDS IN URBAN AREAS: A CASE STUDY OF HARARE CITY</w:t>
      </w:r>
    </w:p>
    <w:p w14:paraId="3A0F5CE0" w14:textId="77777777" w:rsidR="00752FCB" w:rsidRPr="00752FCB" w:rsidRDefault="00752FCB" w:rsidP="00752FCB">
      <w:pPr>
        <w:tabs>
          <w:tab w:val="left" w:pos="2150"/>
        </w:tabs>
        <w:spacing w:after="160" w:line="360" w:lineRule="auto"/>
        <w:jc w:val="center"/>
        <w:rPr>
          <w:rFonts w:eastAsia="Calibri"/>
          <w:b/>
          <w:bCs/>
          <w:color w:val="000000" w:themeColor="text1"/>
          <w:kern w:val="2"/>
          <w:lang w:eastAsia="en-US"/>
          <w14:ligatures w14:val="standardContextual"/>
        </w:rPr>
      </w:pPr>
      <w:r w:rsidRPr="00752FCB">
        <w:rPr>
          <w:rFonts w:eastAsia="Calibri"/>
          <w:b/>
          <w:bCs/>
          <w:color w:val="000000" w:themeColor="text1"/>
          <w:kern w:val="2"/>
          <w:lang w:eastAsia="en-US"/>
          <w14:ligatures w14:val="standardContextual"/>
        </w:rPr>
        <w:t>RESEARCH QUESTIONNAIRE</w:t>
      </w:r>
    </w:p>
    <w:p w14:paraId="7A6AD351" w14:textId="77777777" w:rsidR="00752FCB" w:rsidRPr="00752FCB" w:rsidRDefault="00752FCB" w:rsidP="00752FCB">
      <w:pPr>
        <w:tabs>
          <w:tab w:val="left" w:pos="2150"/>
        </w:tabs>
        <w:spacing w:after="160" w:line="360" w:lineRule="auto"/>
        <w:jc w:val="center"/>
        <w:rPr>
          <w:rFonts w:eastAsia="Calibri"/>
          <w:b/>
          <w:bCs/>
          <w:color w:val="000000" w:themeColor="text1"/>
          <w:kern w:val="2"/>
          <w:lang w:eastAsia="en-US"/>
          <w14:ligatures w14:val="standardContextual"/>
        </w:rPr>
      </w:pPr>
      <w:r w:rsidRPr="00752FCB">
        <w:rPr>
          <w:rFonts w:eastAsia="Calibri"/>
          <w:b/>
          <w:bCs/>
          <w:color w:val="000000" w:themeColor="text1"/>
          <w:kern w:val="2"/>
          <w:lang w:eastAsia="en-US"/>
          <w14:ligatures w14:val="standardContextual"/>
        </w:rPr>
        <w:t>Prepared By:</w:t>
      </w:r>
    </w:p>
    <w:p w14:paraId="6F39B160"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BATSIRAI TAYLOR CHINYOWA</w:t>
      </w:r>
    </w:p>
    <w:p w14:paraId="13569FE5" w14:textId="77777777" w:rsidR="00752FCB" w:rsidRPr="00752FCB" w:rsidRDefault="00752FCB" w:rsidP="00752FCB">
      <w:pPr>
        <w:tabs>
          <w:tab w:val="left" w:pos="2150"/>
        </w:tabs>
        <w:spacing w:after="160" w:line="360" w:lineRule="auto"/>
        <w:jc w:val="center"/>
        <w:rPr>
          <w:rFonts w:eastAsia="Calibri"/>
          <w:bCs/>
          <w:color w:val="000000" w:themeColor="text1"/>
          <w:kern w:val="2"/>
          <w:lang w:val="en-US" w:eastAsia="en-US"/>
          <w14:ligatures w14:val="standardContextual"/>
        </w:rPr>
      </w:pPr>
      <w:r w:rsidRPr="00752FCB">
        <w:rPr>
          <w:rFonts w:eastAsia="Calibri"/>
          <w:bCs/>
          <w:color w:val="000000" w:themeColor="text1"/>
          <w:kern w:val="2"/>
          <w:lang w:val="en-US" w:eastAsia="en-US"/>
          <w14:ligatures w14:val="standardContextual"/>
        </w:rPr>
        <w:t>BINDURA UNIVERSITY OF SCIENCE EDUCATION</w:t>
      </w:r>
    </w:p>
    <w:p w14:paraId="7D40DCF2" w14:textId="77777777" w:rsidR="00752FCB" w:rsidRPr="00752FCB" w:rsidRDefault="00752FCB" w:rsidP="00752FCB">
      <w:pPr>
        <w:tabs>
          <w:tab w:val="left" w:pos="2150"/>
        </w:tabs>
        <w:spacing w:after="160" w:line="360" w:lineRule="auto"/>
        <w:jc w:val="center"/>
        <w:rPr>
          <w:rFonts w:eastAsia="Calibri"/>
          <w:bCs/>
          <w:color w:val="000000" w:themeColor="text1"/>
          <w:kern w:val="2"/>
          <w:lang w:val="en-US" w:eastAsia="en-US"/>
          <w14:ligatures w14:val="standardContextual"/>
        </w:rPr>
      </w:pPr>
      <w:r w:rsidRPr="00752FCB">
        <w:rPr>
          <w:rFonts w:eastAsia="Calibri"/>
          <w:bCs/>
          <w:color w:val="000000" w:themeColor="text1"/>
          <w:kern w:val="2"/>
          <w:lang w:val="en-US" w:eastAsia="en-US"/>
          <w14:ligatures w14:val="standardContextual"/>
        </w:rPr>
        <w:t>FACULTY OF SCIENCE &amp; ENGINEERING</w:t>
      </w:r>
    </w:p>
    <w:p w14:paraId="3C691811" w14:textId="77777777" w:rsidR="00752FCB" w:rsidRPr="00752FCB" w:rsidRDefault="00752FCB" w:rsidP="00752FCB">
      <w:pPr>
        <w:tabs>
          <w:tab w:val="left" w:pos="2150"/>
        </w:tabs>
        <w:spacing w:after="160" w:line="360" w:lineRule="auto"/>
        <w:jc w:val="center"/>
        <w:rPr>
          <w:rFonts w:eastAsia="Calibri"/>
          <w:bCs/>
          <w:color w:val="000000" w:themeColor="text1"/>
          <w:kern w:val="2"/>
          <w:lang w:val="en-US" w:eastAsia="en-US"/>
          <w14:ligatures w14:val="standardContextual"/>
        </w:rPr>
      </w:pPr>
      <w:r w:rsidRPr="00752FCB">
        <w:rPr>
          <w:rFonts w:eastAsia="Calibri"/>
          <w:bCs/>
          <w:color w:val="000000" w:themeColor="text1"/>
          <w:kern w:val="2"/>
          <w:lang w:val="en-US" w:eastAsia="en-US"/>
          <w14:ligatures w14:val="standardContextual"/>
        </w:rPr>
        <w:t>DEPARTMENT OF DISASTER RISK REDUCTION</w:t>
      </w:r>
    </w:p>
    <w:p w14:paraId="26CD0A3C"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p>
    <w:p w14:paraId="230E7345" w14:textId="77777777" w:rsidR="00752FCB" w:rsidRPr="00752FCB" w:rsidRDefault="00752FCB" w:rsidP="00752FCB">
      <w:pPr>
        <w:tabs>
          <w:tab w:val="left" w:pos="2150"/>
        </w:tabs>
        <w:spacing w:after="160" w:line="360" w:lineRule="auto"/>
        <w:jc w:val="center"/>
        <w:rPr>
          <w:rFonts w:eastAsia="Calibri"/>
          <w:b/>
          <w:bCs/>
          <w:color w:val="000000" w:themeColor="text1"/>
          <w:kern w:val="2"/>
          <w:lang w:eastAsia="en-US"/>
          <w14:ligatures w14:val="standardContextual"/>
        </w:rPr>
      </w:pPr>
      <w:r w:rsidRPr="00752FCB">
        <w:rPr>
          <w:rFonts w:eastAsia="Calibri"/>
          <w:b/>
          <w:bCs/>
          <w:color w:val="000000" w:themeColor="text1"/>
          <w:kern w:val="2"/>
          <w:lang w:eastAsia="en-US"/>
          <w14:ligatures w14:val="standardContextual"/>
        </w:rPr>
        <w:t>Purpose of the Research:</w:t>
      </w:r>
    </w:p>
    <w:p w14:paraId="7C68DEE0"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This questionnaire aims to gather insights on the causes, impacts, current mitigation measures, and potential strategies for reducing fire hazards in Harare City. Your participation will contribute to developing sustainable fire safety solutions.</w:t>
      </w:r>
    </w:p>
    <w:p w14:paraId="5E3B3C25"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p>
    <w:p w14:paraId="217F528D" w14:textId="77777777" w:rsidR="00752FCB" w:rsidRPr="00752FCB" w:rsidRDefault="00752FCB" w:rsidP="00752FCB">
      <w:pPr>
        <w:tabs>
          <w:tab w:val="left" w:pos="2150"/>
        </w:tabs>
        <w:spacing w:after="160" w:line="360" w:lineRule="auto"/>
        <w:jc w:val="center"/>
        <w:rPr>
          <w:rFonts w:eastAsia="Calibri"/>
          <w:b/>
          <w:bCs/>
          <w:color w:val="000000" w:themeColor="text1"/>
          <w:kern w:val="2"/>
          <w:lang w:eastAsia="en-US"/>
          <w14:ligatures w14:val="standardContextual"/>
        </w:rPr>
      </w:pPr>
      <w:r w:rsidRPr="00752FCB">
        <w:rPr>
          <w:rFonts w:eastAsia="Calibri"/>
          <w:b/>
          <w:bCs/>
          <w:color w:val="000000" w:themeColor="text1"/>
          <w:kern w:val="2"/>
          <w:lang w:eastAsia="en-US"/>
          <w14:ligatures w14:val="standardContextual"/>
        </w:rPr>
        <w:t>Confidentiality Statement:</w:t>
      </w:r>
    </w:p>
    <w:p w14:paraId="2C8EAF69"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All responses will be kept confidential and used solely for academic research purposes. Your honest and thoughtful answers are highly appreciated.</w:t>
      </w:r>
    </w:p>
    <w:p w14:paraId="78EC0DDB" w14:textId="77777777" w:rsidR="00752FCB" w:rsidRPr="00752FCB" w:rsidRDefault="00752FCB" w:rsidP="00752FCB">
      <w:pPr>
        <w:tabs>
          <w:tab w:val="left" w:pos="2150"/>
        </w:tabs>
        <w:spacing w:after="160" w:line="360" w:lineRule="auto"/>
        <w:jc w:val="center"/>
        <w:rPr>
          <w:rFonts w:eastAsia="Calibri"/>
          <w:b/>
          <w:bCs/>
          <w:color w:val="000000" w:themeColor="text1"/>
          <w:kern w:val="2"/>
          <w:lang w:eastAsia="en-US"/>
          <w14:ligatures w14:val="standardContextual"/>
        </w:rPr>
      </w:pPr>
      <w:r w:rsidRPr="00752FCB">
        <w:rPr>
          <w:rFonts w:eastAsia="Calibri"/>
          <w:b/>
          <w:bCs/>
          <w:color w:val="000000" w:themeColor="text1"/>
          <w:kern w:val="2"/>
          <w:lang w:eastAsia="en-US"/>
          <w14:ligatures w14:val="standardContextual"/>
        </w:rPr>
        <w:t>Instructions:</w:t>
      </w:r>
    </w:p>
    <w:p w14:paraId="12DC8C0A"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Please answer all questions to the best of your knowledge. Your participation is voluntary, and you may withdraw at any time.</w:t>
      </w:r>
    </w:p>
    <w:p w14:paraId="31F50A50"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t>Thank you for your valuable contribution!</w:t>
      </w:r>
    </w:p>
    <w:p w14:paraId="20997F1F"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p>
    <w:p w14:paraId="3BAE9CDB" w14:textId="77777777" w:rsidR="00752FCB" w:rsidRPr="00752FCB" w:rsidRDefault="00752FCB" w:rsidP="00752FCB">
      <w:pPr>
        <w:tabs>
          <w:tab w:val="left" w:pos="2150"/>
        </w:tabs>
        <w:spacing w:after="160" w:line="360" w:lineRule="auto"/>
        <w:jc w:val="center"/>
        <w:rPr>
          <w:rFonts w:eastAsia="Calibri"/>
          <w:color w:val="000000" w:themeColor="text1"/>
          <w:kern w:val="2"/>
          <w:lang w:eastAsia="en-US"/>
          <w14:ligatures w14:val="standardContextual"/>
        </w:rPr>
      </w:pPr>
      <w:r w:rsidRPr="00752FCB">
        <w:rPr>
          <w:rFonts w:eastAsia="Calibri"/>
          <w:color w:val="000000" w:themeColor="text1"/>
          <w:kern w:val="2"/>
          <w:lang w:eastAsia="en-US"/>
          <w14:ligatures w14:val="standardContextual"/>
        </w:rPr>
        <w:lastRenderedPageBreak/>
        <w:t>Date: _______________________</w:t>
      </w:r>
    </w:p>
    <w:p w14:paraId="34C45A2C" w14:textId="77777777" w:rsidR="00752FCB" w:rsidRPr="00752FCB" w:rsidRDefault="00752FCB" w:rsidP="00752FCB">
      <w:pPr>
        <w:spacing w:after="160" w:line="278" w:lineRule="auto"/>
        <w:rPr>
          <w:rFonts w:eastAsiaTheme="minorHAnsi"/>
          <w:kern w:val="2"/>
          <w:lang w:val="en-US" w:eastAsia="en-US"/>
          <w14:ligatures w14:val="standardContextual"/>
        </w:rPr>
      </w:pPr>
    </w:p>
    <w:p w14:paraId="6BC410F0" w14:textId="77777777" w:rsidR="00752FCB" w:rsidRPr="00752FCB" w:rsidRDefault="00752FCB" w:rsidP="00752FCB">
      <w:pPr>
        <w:spacing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Section A: Demographic Information</w:t>
      </w:r>
    </w:p>
    <w:p w14:paraId="5BCAC7EA"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is your age?</w:t>
      </w:r>
    </w:p>
    <w:p w14:paraId="0D64383F"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Under 18</w:t>
      </w:r>
    </w:p>
    <w:p w14:paraId="58CE935D"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18–24</w:t>
      </w:r>
    </w:p>
    <w:p w14:paraId="07F845C2"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25–34</w:t>
      </w:r>
    </w:p>
    <w:p w14:paraId="5A98D753"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35–44</w:t>
      </w:r>
    </w:p>
    <w:p w14:paraId="34897FAB"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45–54</w:t>
      </w:r>
    </w:p>
    <w:p w14:paraId="19F387E8"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55–64</w:t>
      </w:r>
    </w:p>
    <w:p w14:paraId="2EB19F62" w14:textId="77777777" w:rsidR="00752FCB" w:rsidRPr="00752FCB" w:rsidRDefault="00752FCB">
      <w:pPr>
        <w:numPr>
          <w:ilvl w:val="0"/>
          <w:numId w:val="2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65+</w:t>
      </w:r>
    </w:p>
    <w:p w14:paraId="6F3C2CBE" w14:textId="77777777" w:rsidR="00752FCB" w:rsidRPr="00752FCB" w:rsidRDefault="00752FCB" w:rsidP="00752FCB">
      <w:pPr>
        <w:spacing w:line="278" w:lineRule="auto"/>
        <w:ind w:left="1440"/>
        <w:contextualSpacing/>
        <w:rPr>
          <w:rFonts w:eastAsiaTheme="minorHAnsi"/>
          <w:kern w:val="2"/>
          <w:lang w:val="en-US" w:eastAsia="en-US"/>
          <w14:ligatures w14:val="standardContextual"/>
        </w:rPr>
      </w:pPr>
    </w:p>
    <w:p w14:paraId="728D736D"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is your gender?</w:t>
      </w:r>
    </w:p>
    <w:p w14:paraId="379206EC" w14:textId="77777777" w:rsidR="00752FCB" w:rsidRPr="00752FCB" w:rsidRDefault="00752FCB">
      <w:pPr>
        <w:numPr>
          <w:ilvl w:val="0"/>
          <w:numId w:val="2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Male</w:t>
      </w:r>
    </w:p>
    <w:p w14:paraId="78205BFB" w14:textId="77777777" w:rsidR="00752FCB" w:rsidRPr="00752FCB" w:rsidRDefault="00752FCB">
      <w:pPr>
        <w:numPr>
          <w:ilvl w:val="0"/>
          <w:numId w:val="2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Female</w:t>
      </w:r>
    </w:p>
    <w:p w14:paraId="0C759AA2" w14:textId="77777777" w:rsidR="00752FCB" w:rsidRPr="00752FCB" w:rsidRDefault="00752FCB" w:rsidP="00752FCB">
      <w:pPr>
        <w:spacing w:line="278" w:lineRule="auto"/>
        <w:rPr>
          <w:rFonts w:eastAsiaTheme="minorHAnsi"/>
          <w:kern w:val="2"/>
          <w:lang w:val="en-US" w:eastAsia="en-US"/>
          <w14:ligatures w14:val="standardContextual"/>
        </w:rPr>
      </w:pPr>
    </w:p>
    <w:p w14:paraId="16B9E271"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Which ward/part of Harare do you reside in?</w:t>
      </w:r>
    </w:p>
    <w:p w14:paraId="7430B541" w14:textId="77777777" w:rsidR="00752FCB" w:rsidRPr="00752FCB" w:rsidRDefault="00752FCB">
      <w:pPr>
        <w:numPr>
          <w:ilvl w:val="0"/>
          <w:numId w:val="2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Northern suburbs</w:t>
      </w:r>
    </w:p>
    <w:p w14:paraId="0BA68543" w14:textId="77777777" w:rsidR="00752FCB" w:rsidRPr="00752FCB" w:rsidRDefault="00752FCB">
      <w:pPr>
        <w:numPr>
          <w:ilvl w:val="0"/>
          <w:numId w:val="2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Southern suburbs</w:t>
      </w:r>
    </w:p>
    <w:p w14:paraId="0E531E8E" w14:textId="77777777" w:rsidR="00752FCB" w:rsidRPr="00752FCB" w:rsidRDefault="00752FCB">
      <w:pPr>
        <w:numPr>
          <w:ilvl w:val="0"/>
          <w:numId w:val="2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Western suburbs</w:t>
      </w:r>
    </w:p>
    <w:p w14:paraId="25C7DE71" w14:textId="77777777" w:rsidR="00752FCB" w:rsidRPr="00752FCB" w:rsidRDefault="00752FCB">
      <w:pPr>
        <w:numPr>
          <w:ilvl w:val="0"/>
          <w:numId w:val="2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 xml:space="preserve">Eastern suburbs </w:t>
      </w:r>
    </w:p>
    <w:p w14:paraId="7FAD5902" w14:textId="77777777" w:rsidR="00752FCB" w:rsidRPr="00752FCB" w:rsidRDefault="00752FCB">
      <w:pPr>
        <w:numPr>
          <w:ilvl w:val="0"/>
          <w:numId w:val="2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not stay in Harare but work in Harare</w:t>
      </w:r>
    </w:p>
    <w:p w14:paraId="383C9844" w14:textId="77777777" w:rsidR="00752FCB" w:rsidRPr="00752FCB" w:rsidRDefault="00752FCB" w:rsidP="00752FCB">
      <w:pPr>
        <w:spacing w:line="278" w:lineRule="auto"/>
        <w:ind w:left="1080"/>
        <w:contextualSpacing/>
        <w:rPr>
          <w:rFonts w:eastAsiaTheme="minorHAnsi"/>
          <w:kern w:val="2"/>
          <w:lang w:val="en-US" w:eastAsia="en-US"/>
          <w14:ligatures w14:val="standardContextual"/>
        </w:rPr>
      </w:pPr>
    </w:p>
    <w:p w14:paraId="07AA29F8"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is your current occupation?</w:t>
      </w:r>
    </w:p>
    <w:p w14:paraId="2618CA97" w14:textId="77777777" w:rsidR="00752FCB" w:rsidRPr="00752FCB" w:rsidRDefault="00752FCB">
      <w:pPr>
        <w:numPr>
          <w:ilvl w:val="0"/>
          <w:numId w:val="3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Student</w:t>
      </w:r>
    </w:p>
    <w:p w14:paraId="2020BEE0" w14:textId="77777777" w:rsidR="00752FCB" w:rsidRPr="00752FCB" w:rsidRDefault="00752FCB">
      <w:pPr>
        <w:numPr>
          <w:ilvl w:val="0"/>
          <w:numId w:val="3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Employed (Public Sector)</w:t>
      </w:r>
    </w:p>
    <w:p w14:paraId="23475DCF" w14:textId="77777777" w:rsidR="00752FCB" w:rsidRPr="00752FCB" w:rsidRDefault="00752FCB">
      <w:pPr>
        <w:numPr>
          <w:ilvl w:val="0"/>
          <w:numId w:val="3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Employed (Private Sector)</w:t>
      </w:r>
    </w:p>
    <w:p w14:paraId="03E69E27" w14:textId="77777777" w:rsidR="00752FCB" w:rsidRPr="00752FCB" w:rsidRDefault="00752FCB">
      <w:pPr>
        <w:numPr>
          <w:ilvl w:val="0"/>
          <w:numId w:val="3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Self-employed</w:t>
      </w:r>
    </w:p>
    <w:p w14:paraId="414DEA60" w14:textId="77777777" w:rsidR="00752FCB" w:rsidRPr="00752FCB" w:rsidRDefault="00752FCB">
      <w:pPr>
        <w:numPr>
          <w:ilvl w:val="0"/>
          <w:numId w:val="3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Unemployed</w:t>
      </w:r>
    </w:p>
    <w:p w14:paraId="65254528" w14:textId="77777777" w:rsidR="00752FCB" w:rsidRPr="00752FCB" w:rsidRDefault="00752FCB" w:rsidP="00752FCB">
      <w:pPr>
        <w:spacing w:line="278" w:lineRule="auto"/>
        <w:rPr>
          <w:rFonts w:eastAsiaTheme="minorHAnsi"/>
          <w:kern w:val="2"/>
          <w:lang w:val="en-US" w:eastAsia="en-US"/>
          <w14:ligatures w14:val="standardContextual"/>
        </w:rPr>
      </w:pPr>
    </w:p>
    <w:p w14:paraId="61DAF907"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you own or rent your residence?</w:t>
      </w:r>
    </w:p>
    <w:p w14:paraId="28907828" w14:textId="77777777" w:rsidR="00752FCB" w:rsidRPr="00752FCB" w:rsidRDefault="00752FCB">
      <w:pPr>
        <w:numPr>
          <w:ilvl w:val="0"/>
          <w:numId w:val="31"/>
        </w:numPr>
        <w:spacing w:after="160" w:line="278" w:lineRule="auto"/>
        <w:contextualSpacing/>
        <w:rPr>
          <w:rFonts w:eastAsiaTheme="minorHAnsi"/>
          <w:kern w:val="2"/>
          <w:lang w:val="en-US" w:eastAsia="en-US"/>
          <w14:ligatures w14:val="standardContextual"/>
        </w:rPr>
      </w:pPr>
      <w:bookmarkStart w:id="182" w:name="_Hlk214014213"/>
      <w:r w:rsidRPr="00752FCB">
        <w:rPr>
          <w:rFonts w:eastAsiaTheme="minorHAnsi"/>
          <w:kern w:val="2"/>
          <w:lang w:val="en-US" w:eastAsia="en-US"/>
          <w14:ligatures w14:val="standardContextual"/>
        </w:rPr>
        <w:t>Own</w:t>
      </w:r>
    </w:p>
    <w:p w14:paraId="495E5E9D" w14:textId="77777777" w:rsidR="00752FCB" w:rsidRPr="00752FCB" w:rsidRDefault="00752FCB">
      <w:pPr>
        <w:numPr>
          <w:ilvl w:val="0"/>
          <w:numId w:val="3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Rent</w:t>
      </w:r>
    </w:p>
    <w:p w14:paraId="44607CD5" w14:textId="77777777" w:rsidR="00752FCB" w:rsidRPr="00752FCB" w:rsidRDefault="00752FCB">
      <w:pPr>
        <w:numPr>
          <w:ilvl w:val="0"/>
          <w:numId w:val="3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Other (please specify)</w:t>
      </w:r>
    </w:p>
    <w:bookmarkEnd w:id="182"/>
    <w:p w14:paraId="44A1E260" w14:textId="77777777" w:rsidR="00752FCB" w:rsidRPr="00752FCB" w:rsidRDefault="00752FCB" w:rsidP="00752FCB">
      <w:pPr>
        <w:spacing w:line="278" w:lineRule="auto"/>
        <w:rPr>
          <w:rFonts w:eastAsiaTheme="minorHAnsi"/>
          <w:kern w:val="2"/>
          <w:lang w:val="en-US" w:eastAsia="en-US"/>
          <w14:ligatures w14:val="standardContextual"/>
        </w:rPr>
      </w:pPr>
    </w:p>
    <w:p w14:paraId="11766567" w14:textId="77777777" w:rsidR="00752FCB" w:rsidRPr="00752FCB" w:rsidRDefault="00752FCB" w:rsidP="00752FCB">
      <w:pPr>
        <w:spacing w:line="278" w:lineRule="auto"/>
        <w:rPr>
          <w:rFonts w:eastAsiaTheme="minorHAnsi"/>
          <w:kern w:val="2"/>
          <w:lang w:val="en-US" w:eastAsia="en-US"/>
          <w14:ligatures w14:val="standardContextual"/>
        </w:rPr>
      </w:pPr>
    </w:p>
    <w:p w14:paraId="061CE2CF"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you own or rent your business location?</w:t>
      </w:r>
    </w:p>
    <w:p w14:paraId="1D35D021" w14:textId="77777777" w:rsidR="00752FCB" w:rsidRPr="00752FCB" w:rsidRDefault="00752FCB" w:rsidP="00752FCB">
      <w:pPr>
        <w:spacing w:line="278" w:lineRule="auto"/>
        <w:ind w:left="720"/>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w:t>
      </w:r>
      <w:r w:rsidRPr="00752FCB">
        <w:rPr>
          <w:rFonts w:eastAsiaTheme="minorHAnsi"/>
          <w:kern w:val="2"/>
          <w:lang w:val="en-US" w:eastAsia="en-US"/>
          <w14:ligatures w14:val="standardContextual"/>
        </w:rPr>
        <w:tab/>
        <w:t>Own</w:t>
      </w:r>
    </w:p>
    <w:p w14:paraId="347E4CEB" w14:textId="77777777" w:rsidR="00752FCB" w:rsidRPr="00752FCB" w:rsidRDefault="00752FCB" w:rsidP="00752FCB">
      <w:pPr>
        <w:spacing w:line="278" w:lineRule="auto"/>
        <w:ind w:left="720"/>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b)</w:t>
      </w:r>
      <w:r w:rsidRPr="00752FCB">
        <w:rPr>
          <w:rFonts w:eastAsiaTheme="minorHAnsi"/>
          <w:kern w:val="2"/>
          <w:lang w:val="en-US" w:eastAsia="en-US"/>
          <w14:ligatures w14:val="standardContextual"/>
        </w:rPr>
        <w:tab/>
        <w:t>Rent</w:t>
      </w:r>
    </w:p>
    <w:p w14:paraId="6C599F6C" w14:textId="77777777" w:rsidR="00752FCB" w:rsidRPr="00752FCB" w:rsidRDefault="00752FCB" w:rsidP="00752FCB">
      <w:pPr>
        <w:spacing w:line="278" w:lineRule="auto"/>
        <w:ind w:left="720"/>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lastRenderedPageBreak/>
        <w:t>c)</w:t>
      </w:r>
      <w:r w:rsidRPr="00752FCB">
        <w:rPr>
          <w:rFonts w:eastAsiaTheme="minorHAnsi"/>
          <w:kern w:val="2"/>
          <w:lang w:val="en-US" w:eastAsia="en-US"/>
          <w14:ligatures w14:val="standardContextual"/>
        </w:rPr>
        <w:tab/>
        <w:t>Not applicable</w:t>
      </w:r>
    </w:p>
    <w:p w14:paraId="4545DA16" w14:textId="77777777" w:rsidR="00752FCB" w:rsidRPr="00752FCB" w:rsidRDefault="00752FCB" w:rsidP="00752FCB">
      <w:pPr>
        <w:spacing w:line="278" w:lineRule="auto"/>
        <w:rPr>
          <w:rFonts w:eastAsiaTheme="minorHAnsi"/>
          <w:kern w:val="2"/>
          <w:lang w:val="en-US" w:eastAsia="en-US"/>
          <w14:ligatures w14:val="standardContextual"/>
        </w:rPr>
      </w:pPr>
    </w:p>
    <w:p w14:paraId="23CC4E8B" w14:textId="77777777" w:rsidR="00752FCB" w:rsidRPr="00752FCB" w:rsidRDefault="00752FCB" w:rsidP="00752FCB">
      <w:pPr>
        <w:spacing w:line="278" w:lineRule="auto"/>
        <w:rPr>
          <w:rFonts w:eastAsiaTheme="minorHAnsi"/>
          <w:kern w:val="2"/>
          <w:lang w:val="en-US" w:eastAsia="en-US"/>
          <w14:ligatures w14:val="standardContextual"/>
        </w:rPr>
      </w:pPr>
    </w:p>
    <w:p w14:paraId="6FEDE816"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bookmarkStart w:id="183" w:name="_Hlk214014263"/>
      <w:r w:rsidRPr="00752FCB">
        <w:rPr>
          <w:rFonts w:eastAsiaTheme="minorHAnsi"/>
          <w:kern w:val="2"/>
          <w:lang w:val="en-US" w:eastAsia="en-US"/>
          <w14:ligatures w14:val="standardContextual"/>
        </w:rPr>
        <w:t>How long have you lived/worked in Harare City?</w:t>
      </w:r>
    </w:p>
    <w:p w14:paraId="14ED79AC" w14:textId="77777777" w:rsidR="00752FCB" w:rsidRPr="00752FCB" w:rsidRDefault="00752FCB">
      <w:pPr>
        <w:numPr>
          <w:ilvl w:val="0"/>
          <w:numId w:val="3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Less than 1 year</w:t>
      </w:r>
    </w:p>
    <w:p w14:paraId="756181B0" w14:textId="77777777" w:rsidR="00752FCB" w:rsidRPr="00752FCB" w:rsidRDefault="00752FCB">
      <w:pPr>
        <w:numPr>
          <w:ilvl w:val="0"/>
          <w:numId w:val="3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1–5 years</w:t>
      </w:r>
    </w:p>
    <w:p w14:paraId="38B944B5" w14:textId="77777777" w:rsidR="00752FCB" w:rsidRPr="00752FCB" w:rsidRDefault="00752FCB">
      <w:pPr>
        <w:numPr>
          <w:ilvl w:val="0"/>
          <w:numId w:val="3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6–10 years</w:t>
      </w:r>
    </w:p>
    <w:p w14:paraId="368DB2B0" w14:textId="77777777" w:rsidR="00752FCB" w:rsidRPr="00752FCB" w:rsidRDefault="00752FCB">
      <w:pPr>
        <w:numPr>
          <w:ilvl w:val="0"/>
          <w:numId w:val="3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More than 10 years</w:t>
      </w:r>
    </w:p>
    <w:p w14:paraId="750CE918" w14:textId="77777777" w:rsidR="00752FCB" w:rsidRPr="00752FCB" w:rsidRDefault="00752FCB">
      <w:pPr>
        <w:numPr>
          <w:ilvl w:val="0"/>
          <w:numId w:val="3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applicable</w:t>
      </w:r>
    </w:p>
    <w:bookmarkEnd w:id="183"/>
    <w:p w14:paraId="0B5731C9" w14:textId="77777777" w:rsidR="00752FCB" w:rsidRPr="00752FCB" w:rsidRDefault="00752FCB">
      <w:pPr>
        <w:numPr>
          <w:ilvl w:val="0"/>
          <w:numId w:val="26"/>
        </w:numPr>
        <w:spacing w:after="160" w:line="278" w:lineRule="auto"/>
        <w:rPr>
          <w:rFonts w:eastAsiaTheme="minorHAnsi"/>
          <w:kern w:val="2"/>
          <w:lang w:val="en-US" w:eastAsia="en-US"/>
          <w14:ligatures w14:val="standardContextual"/>
        </w:rPr>
      </w:pPr>
      <w:r w:rsidRPr="00752FCB">
        <w:rPr>
          <w:rFonts w:eastAsiaTheme="minorHAnsi"/>
          <w:kern w:val="2"/>
          <w:lang w:val="en-US" w:eastAsia="en-US"/>
          <w14:ligatures w14:val="standardContextual"/>
        </w:rPr>
        <w:t>How long have you worked in Harare City?</w:t>
      </w:r>
    </w:p>
    <w:p w14:paraId="2B1DAD6F" w14:textId="77777777" w:rsidR="00752FCB" w:rsidRPr="00752FCB" w:rsidRDefault="00752FCB">
      <w:pPr>
        <w:numPr>
          <w:ilvl w:val="0"/>
          <w:numId w:val="58"/>
        </w:numPr>
        <w:spacing w:after="160" w:line="278" w:lineRule="auto"/>
        <w:rPr>
          <w:rFonts w:eastAsiaTheme="minorHAnsi"/>
          <w:kern w:val="2"/>
          <w:lang w:val="en-US" w:eastAsia="en-US"/>
          <w14:ligatures w14:val="standardContextual"/>
        </w:rPr>
      </w:pPr>
      <w:r w:rsidRPr="00752FCB">
        <w:rPr>
          <w:rFonts w:eastAsiaTheme="minorHAnsi"/>
          <w:kern w:val="2"/>
          <w:lang w:val="en-US" w:eastAsia="en-US"/>
          <w14:ligatures w14:val="standardContextual"/>
        </w:rPr>
        <w:t>Less than 1 year</w:t>
      </w:r>
    </w:p>
    <w:p w14:paraId="2C9344C1" w14:textId="77777777" w:rsidR="00752FCB" w:rsidRPr="00752FCB" w:rsidRDefault="00752FCB">
      <w:pPr>
        <w:numPr>
          <w:ilvl w:val="0"/>
          <w:numId w:val="58"/>
        </w:numPr>
        <w:spacing w:after="160" w:line="278" w:lineRule="auto"/>
        <w:rPr>
          <w:rFonts w:eastAsiaTheme="minorHAnsi"/>
          <w:kern w:val="2"/>
          <w:lang w:val="en-US" w:eastAsia="en-US"/>
          <w14:ligatures w14:val="standardContextual"/>
        </w:rPr>
      </w:pPr>
      <w:r w:rsidRPr="00752FCB">
        <w:rPr>
          <w:rFonts w:eastAsiaTheme="minorHAnsi"/>
          <w:kern w:val="2"/>
          <w:lang w:val="en-US" w:eastAsia="en-US"/>
          <w14:ligatures w14:val="standardContextual"/>
        </w:rPr>
        <w:t>1–5 years</w:t>
      </w:r>
    </w:p>
    <w:p w14:paraId="28C17A41" w14:textId="77777777" w:rsidR="00752FCB" w:rsidRPr="00752FCB" w:rsidRDefault="00752FCB">
      <w:pPr>
        <w:numPr>
          <w:ilvl w:val="0"/>
          <w:numId w:val="58"/>
        </w:numPr>
        <w:spacing w:after="160" w:line="278" w:lineRule="auto"/>
        <w:rPr>
          <w:rFonts w:eastAsiaTheme="minorHAnsi"/>
          <w:kern w:val="2"/>
          <w:lang w:val="en-US" w:eastAsia="en-US"/>
          <w14:ligatures w14:val="standardContextual"/>
        </w:rPr>
      </w:pPr>
      <w:r w:rsidRPr="00752FCB">
        <w:rPr>
          <w:rFonts w:eastAsiaTheme="minorHAnsi"/>
          <w:kern w:val="2"/>
          <w:lang w:val="en-US" w:eastAsia="en-US"/>
          <w14:ligatures w14:val="standardContextual"/>
        </w:rPr>
        <w:t>6–10 years</w:t>
      </w:r>
    </w:p>
    <w:p w14:paraId="217BD6CC" w14:textId="77777777" w:rsidR="00752FCB" w:rsidRPr="00752FCB" w:rsidRDefault="00752FCB">
      <w:pPr>
        <w:numPr>
          <w:ilvl w:val="0"/>
          <w:numId w:val="58"/>
        </w:numPr>
        <w:spacing w:after="160" w:line="278" w:lineRule="auto"/>
        <w:rPr>
          <w:rFonts w:eastAsiaTheme="minorHAnsi"/>
          <w:kern w:val="2"/>
          <w:lang w:val="en-US" w:eastAsia="en-US"/>
          <w14:ligatures w14:val="standardContextual"/>
        </w:rPr>
      </w:pPr>
      <w:r w:rsidRPr="00752FCB">
        <w:rPr>
          <w:rFonts w:eastAsiaTheme="minorHAnsi"/>
          <w:kern w:val="2"/>
          <w:lang w:val="en-US" w:eastAsia="en-US"/>
          <w14:ligatures w14:val="standardContextual"/>
        </w:rPr>
        <w:t>More than 10 years</w:t>
      </w:r>
    </w:p>
    <w:p w14:paraId="26EC1904" w14:textId="77777777" w:rsidR="00752FCB" w:rsidRPr="00752FCB" w:rsidRDefault="00752FCB">
      <w:pPr>
        <w:numPr>
          <w:ilvl w:val="0"/>
          <w:numId w:val="5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applicable</w:t>
      </w:r>
    </w:p>
    <w:p w14:paraId="4A887E2D" w14:textId="77777777" w:rsidR="00752FCB" w:rsidRPr="00752FCB" w:rsidRDefault="00752FCB" w:rsidP="00752FCB">
      <w:pPr>
        <w:spacing w:after="160" w:line="278" w:lineRule="auto"/>
        <w:rPr>
          <w:rFonts w:eastAsiaTheme="minorHAnsi"/>
          <w:kern w:val="2"/>
          <w:lang w:val="en-US" w:eastAsia="en-US"/>
          <w14:ligatures w14:val="standardContextual"/>
        </w:rPr>
      </w:pPr>
    </w:p>
    <w:p w14:paraId="715D6860"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Section B: Perceived Fire Hazards and Their Causes (Urban Areas)</w:t>
      </w:r>
    </w:p>
    <w:p w14:paraId="277A1786"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Residential</w:t>
      </w:r>
    </w:p>
    <w:p w14:paraId="11E531D8"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 your opinion, what are the main causes of residential fires in Harare? (Select one that apply)</w:t>
      </w:r>
    </w:p>
    <w:p w14:paraId="20B5EDDC"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Electrical faults (overloads, faulty wiring)</w:t>
      </w:r>
    </w:p>
    <w:p w14:paraId="7E72C1D9"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Cooking accidents (unattended cooking, open flames)</w:t>
      </w:r>
    </w:p>
    <w:p w14:paraId="13839320"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Heating equipment (oil heaters, stoves)</w:t>
      </w:r>
    </w:p>
    <w:p w14:paraId="39AFFEAE"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Arson/vandalism</w:t>
      </w:r>
    </w:p>
    <w:p w14:paraId="2FCA1AB3"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Smoking-related fires</w:t>
      </w:r>
    </w:p>
    <w:p w14:paraId="776F156C"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Gas leaks</w:t>
      </w:r>
    </w:p>
    <w:p w14:paraId="7B95CC9D"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Faulty appliances</w:t>
      </w:r>
    </w:p>
    <w:p w14:paraId="3CD790F5" w14:textId="77777777" w:rsidR="00752FCB" w:rsidRPr="00752FCB" w:rsidRDefault="00752FCB">
      <w:pPr>
        <w:numPr>
          <w:ilvl w:val="0"/>
          <w:numId w:val="3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Candles, lanterns</w:t>
      </w:r>
    </w:p>
    <w:p w14:paraId="34E0CC77" w14:textId="77777777" w:rsidR="00752FCB" w:rsidRPr="00752FCB" w:rsidRDefault="00752FCB" w:rsidP="00752FCB">
      <w:pPr>
        <w:spacing w:after="160" w:line="278" w:lineRule="auto"/>
        <w:rPr>
          <w:rFonts w:eastAsiaTheme="minorHAnsi"/>
          <w:kern w:val="2"/>
          <w:lang w:val="en-US" w:eastAsia="en-US"/>
          <w14:ligatures w14:val="standardContextual"/>
        </w:rPr>
      </w:pPr>
    </w:p>
    <w:p w14:paraId="2F10B352"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often have you or someone you know experienced a residential fire incident in the past 10 years?</w:t>
      </w:r>
    </w:p>
    <w:p w14:paraId="2EBC0C35" w14:textId="77777777" w:rsidR="00752FCB" w:rsidRPr="00752FCB" w:rsidRDefault="00752FCB">
      <w:pPr>
        <w:numPr>
          <w:ilvl w:val="0"/>
          <w:numId w:val="3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Never</w:t>
      </w:r>
    </w:p>
    <w:p w14:paraId="7F2D28AA" w14:textId="77777777" w:rsidR="00752FCB" w:rsidRPr="00752FCB" w:rsidRDefault="00752FCB">
      <w:pPr>
        <w:numPr>
          <w:ilvl w:val="0"/>
          <w:numId w:val="3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1–2 times</w:t>
      </w:r>
    </w:p>
    <w:p w14:paraId="027DF2AE" w14:textId="77777777" w:rsidR="00752FCB" w:rsidRPr="00752FCB" w:rsidRDefault="00752FCB">
      <w:pPr>
        <w:numPr>
          <w:ilvl w:val="0"/>
          <w:numId w:val="3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3–5 times</w:t>
      </w:r>
    </w:p>
    <w:p w14:paraId="34D3A67F" w14:textId="77777777" w:rsidR="00752FCB" w:rsidRPr="00752FCB" w:rsidRDefault="00752FCB">
      <w:pPr>
        <w:numPr>
          <w:ilvl w:val="0"/>
          <w:numId w:val="3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More than 5 times</w:t>
      </w:r>
    </w:p>
    <w:p w14:paraId="36A73333" w14:textId="77777777" w:rsidR="00752FCB" w:rsidRPr="00752FCB" w:rsidRDefault="00752FCB">
      <w:pPr>
        <w:numPr>
          <w:ilvl w:val="0"/>
          <w:numId w:val="3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47640CEF" w14:textId="77777777" w:rsidR="00752FCB" w:rsidRPr="00752FCB" w:rsidRDefault="00752FCB" w:rsidP="00752FCB">
      <w:pPr>
        <w:spacing w:after="160" w:line="278" w:lineRule="auto"/>
        <w:rPr>
          <w:rFonts w:eastAsiaTheme="minorHAnsi"/>
          <w:kern w:val="2"/>
          <w:lang w:val="en-US" w:eastAsia="en-US"/>
          <w14:ligatures w14:val="standardContextual"/>
        </w:rPr>
      </w:pPr>
    </w:p>
    <w:p w14:paraId="64510BC2"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well do you think residential electrical wiring and appliances are regulated/maintained in your area?</w:t>
      </w:r>
    </w:p>
    <w:p w14:paraId="143CF0A3" w14:textId="77777777" w:rsidR="00752FCB" w:rsidRPr="00752FCB" w:rsidRDefault="00752FCB">
      <w:pPr>
        <w:numPr>
          <w:ilvl w:val="0"/>
          <w:numId w:val="3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well</w:t>
      </w:r>
    </w:p>
    <w:p w14:paraId="00E86AEB" w14:textId="77777777" w:rsidR="00752FCB" w:rsidRPr="00752FCB" w:rsidRDefault="00752FCB">
      <w:pPr>
        <w:numPr>
          <w:ilvl w:val="0"/>
          <w:numId w:val="3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Well</w:t>
      </w:r>
    </w:p>
    <w:p w14:paraId="6F5A7AB5" w14:textId="77777777" w:rsidR="00752FCB" w:rsidRPr="00752FCB" w:rsidRDefault="00752FCB">
      <w:pPr>
        <w:numPr>
          <w:ilvl w:val="0"/>
          <w:numId w:val="3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Neutral</w:t>
      </w:r>
    </w:p>
    <w:p w14:paraId="7D225A94" w14:textId="77777777" w:rsidR="00752FCB" w:rsidRPr="00752FCB" w:rsidRDefault="00752FCB">
      <w:pPr>
        <w:numPr>
          <w:ilvl w:val="0"/>
          <w:numId w:val="3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Poorly</w:t>
      </w:r>
    </w:p>
    <w:p w14:paraId="29F9C9A4" w14:textId="77777777" w:rsidR="00752FCB" w:rsidRPr="00752FCB" w:rsidRDefault="00752FCB">
      <w:pPr>
        <w:numPr>
          <w:ilvl w:val="0"/>
          <w:numId w:val="3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poorly</w:t>
      </w:r>
    </w:p>
    <w:p w14:paraId="6EB96561"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59731B0B"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Commercial</w:t>
      </w:r>
    </w:p>
    <w:p w14:paraId="2FE168E9"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Which factors most commonly contribute to fires in commercial premises (shops, offices) in Harare? (Select one)</w:t>
      </w:r>
    </w:p>
    <w:p w14:paraId="75828C68"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Electrical faults</w:t>
      </w:r>
    </w:p>
    <w:p w14:paraId="2C5162D9"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Faulty or overloaded extension leads</w:t>
      </w:r>
    </w:p>
    <w:p w14:paraId="4949FC6B"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 housekeeping and waste accumulation</w:t>
      </w:r>
    </w:p>
    <w:p w14:paraId="366569B1"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Cooking activities (in cafés/restaurants)</w:t>
      </w:r>
    </w:p>
    <w:p w14:paraId="6B947674"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Heating/equipment</w:t>
      </w:r>
    </w:p>
    <w:p w14:paraId="39912119"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Arson/vandalism</w:t>
      </w:r>
    </w:p>
    <w:p w14:paraId="0FAF97B9" w14:textId="77777777" w:rsidR="00752FCB" w:rsidRPr="00752FCB" w:rsidRDefault="00752FCB">
      <w:pPr>
        <w:numPr>
          <w:ilvl w:val="0"/>
          <w:numId w:val="3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Storage of flammable liquids</w:t>
      </w:r>
    </w:p>
    <w:p w14:paraId="5E5C4D4D" w14:textId="77777777" w:rsidR="00752FCB" w:rsidRPr="00752FCB" w:rsidRDefault="00752FCB" w:rsidP="00752FCB">
      <w:pPr>
        <w:spacing w:after="160" w:line="278" w:lineRule="auto"/>
        <w:rPr>
          <w:rFonts w:eastAsiaTheme="minorHAnsi"/>
          <w:kern w:val="2"/>
          <w:lang w:val="en-US" w:eastAsia="en-US"/>
          <w14:ligatures w14:val="standardContextual"/>
        </w:rPr>
      </w:pPr>
    </w:p>
    <w:p w14:paraId="160E6C8D"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you operate or work in a commercial facility with fire safety measures (alarm systems, extinguishers, evacuation plans)?</w:t>
      </w:r>
    </w:p>
    <w:p w14:paraId="42670E13" w14:textId="77777777" w:rsidR="00752FCB" w:rsidRPr="00752FCB" w:rsidRDefault="00752FCB">
      <w:pPr>
        <w:numPr>
          <w:ilvl w:val="0"/>
          <w:numId w:val="3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0693D93B" w14:textId="77777777" w:rsidR="00752FCB" w:rsidRPr="00752FCB" w:rsidRDefault="00752FCB">
      <w:pPr>
        <w:numPr>
          <w:ilvl w:val="0"/>
          <w:numId w:val="3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 xml:space="preserve">No </w:t>
      </w:r>
    </w:p>
    <w:p w14:paraId="7101563E"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5B567000"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do you think about the effectiveness of fire alarm systems, extinguishers, and evacuation plans during fire incidents?</w:t>
      </w:r>
    </w:p>
    <w:p w14:paraId="1E1383FF" w14:textId="77777777" w:rsidR="00752FCB" w:rsidRPr="00752FCB" w:rsidRDefault="00752FCB">
      <w:pPr>
        <w:numPr>
          <w:ilvl w:val="0"/>
          <w:numId w:val="3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effective</w:t>
      </w:r>
    </w:p>
    <w:p w14:paraId="6DBB98DD" w14:textId="77777777" w:rsidR="00752FCB" w:rsidRPr="00752FCB" w:rsidRDefault="00752FCB">
      <w:pPr>
        <w:numPr>
          <w:ilvl w:val="0"/>
          <w:numId w:val="3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Effective</w:t>
      </w:r>
    </w:p>
    <w:p w14:paraId="50E43E36" w14:textId="77777777" w:rsidR="00752FCB" w:rsidRPr="00752FCB" w:rsidRDefault="00752FCB">
      <w:pPr>
        <w:numPr>
          <w:ilvl w:val="0"/>
          <w:numId w:val="3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Somewhat effective</w:t>
      </w:r>
    </w:p>
    <w:p w14:paraId="5F33750F" w14:textId="77777777" w:rsidR="00752FCB" w:rsidRPr="00752FCB" w:rsidRDefault="00752FCB">
      <w:pPr>
        <w:numPr>
          <w:ilvl w:val="0"/>
          <w:numId w:val="3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effective</w:t>
      </w:r>
    </w:p>
    <w:p w14:paraId="541E9950" w14:textId="77777777" w:rsidR="00752FCB" w:rsidRPr="00752FCB" w:rsidRDefault="00752FCB">
      <w:pPr>
        <w:numPr>
          <w:ilvl w:val="0"/>
          <w:numId w:val="3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Don’t know</w:t>
      </w:r>
    </w:p>
    <w:p w14:paraId="34EC7C3D" w14:textId="77777777" w:rsidR="00752FCB" w:rsidRPr="00752FCB" w:rsidRDefault="00752FCB" w:rsidP="00752FCB">
      <w:pPr>
        <w:spacing w:after="160" w:line="278" w:lineRule="auto"/>
        <w:rPr>
          <w:rFonts w:eastAsiaTheme="minorHAnsi"/>
          <w:kern w:val="2"/>
          <w:lang w:val="en-US" w:eastAsia="en-US"/>
          <w14:ligatures w14:val="standardContextual"/>
        </w:rPr>
      </w:pPr>
    </w:p>
    <w:p w14:paraId="6F66F265"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Industrial</w:t>
      </w:r>
    </w:p>
    <w:p w14:paraId="5B6DFC68"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Are you aware of any fire hazards in industrial areas of Harare (e.g., factories, warehouses)?</w:t>
      </w:r>
    </w:p>
    <w:p w14:paraId="25791B64" w14:textId="77777777" w:rsidR="00752FCB" w:rsidRPr="00752FCB" w:rsidRDefault="00752FCB">
      <w:pPr>
        <w:numPr>
          <w:ilvl w:val="0"/>
          <w:numId w:val="3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321C9D9A" w14:textId="77777777" w:rsidR="00752FCB" w:rsidRPr="00752FCB" w:rsidRDefault="00752FCB">
      <w:pPr>
        <w:numPr>
          <w:ilvl w:val="0"/>
          <w:numId w:val="3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0ED6E15C" w14:textId="77777777" w:rsidR="00752FCB" w:rsidRPr="00752FCB" w:rsidRDefault="00752FCB">
      <w:pPr>
        <w:numPr>
          <w:ilvl w:val="0"/>
          <w:numId w:val="3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lastRenderedPageBreak/>
        <w:t>Not sure</w:t>
      </w:r>
    </w:p>
    <w:p w14:paraId="649033AD" w14:textId="77777777" w:rsidR="00752FCB" w:rsidRPr="00752FCB" w:rsidRDefault="00752FCB" w:rsidP="00752FCB">
      <w:pPr>
        <w:spacing w:after="160" w:line="278" w:lineRule="auto"/>
        <w:rPr>
          <w:rFonts w:eastAsiaTheme="minorHAnsi"/>
          <w:kern w:val="2"/>
          <w:lang w:val="en-US" w:eastAsia="en-US"/>
          <w14:ligatures w14:val="standardContextual"/>
        </w:rPr>
      </w:pPr>
    </w:p>
    <w:p w14:paraId="0B1B68F7"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are the main hazards observed in industrial areas? (Select one)</w:t>
      </w:r>
    </w:p>
    <w:p w14:paraId="35967B89"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Flammable liquids or gases</w:t>
      </w:r>
    </w:p>
    <w:p w14:paraId="690E0C43"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Electrical equipment and motors</w:t>
      </w:r>
    </w:p>
    <w:p w14:paraId="5AF949D8"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Hot work (welding, cutting)</w:t>
      </w:r>
    </w:p>
    <w:p w14:paraId="2892C5B4"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 storage of chemicals</w:t>
      </w:r>
    </w:p>
    <w:p w14:paraId="21B742E4"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Inadequate fire suppression systems</w:t>
      </w:r>
    </w:p>
    <w:p w14:paraId="0E8DD6A9" w14:textId="77777777" w:rsidR="00752FCB" w:rsidRPr="00752FCB" w:rsidRDefault="00752FCB">
      <w:pPr>
        <w:numPr>
          <w:ilvl w:val="0"/>
          <w:numId w:val="4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Blocked access for emergency services</w:t>
      </w:r>
    </w:p>
    <w:p w14:paraId="7270BCDA" w14:textId="77777777" w:rsidR="00752FCB" w:rsidRPr="00752FCB" w:rsidRDefault="00752FCB" w:rsidP="00752FCB">
      <w:pPr>
        <w:spacing w:after="160" w:line="278" w:lineRule="auto"/>
        <w:rPr>
          <w:rFonts w:eastAsiaTheme="minorHAnsi"/>
          <w:kern w:val="2"/>
          <w:lang w:val="en-US" w:eastAsia="en-US"/>
          <w14:ligatures w14:val="standardContextual"/>
        </w:rPr>
      </w:pPr>
    </w:p>
    <w:p w14:paraId="6A09DE85"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Dumpsite</w:t>
      </w:r>
    </w:p>
    <w:p w14:paraId="17AA80BE"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you think rubbish dumpsites near urban areas contribute to fire hazards?</w:t>
      </w:r>
    </w:p>
    <w:p w14:paraId="0319A622" w14:textId="77777777" w:rsidR="00752FCB" w:rsidRPr="00752FCB" w:rsidRDefault="00752FCB">
      <w:pPr>
        <w:numPr>
          <w:ilvl w:val="0"/>
          <w:numId w:val="4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0A07272B" w14:textId="77777777" w:rsidR="00752FCB" w:rsidRPr="00752FCB" w:rsidRDefault="00752FCB">
      <w:pPr>
        <w:numPr>
          <w:ilvl w:val="0"/>
          <w:numId w:val="4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4F7654AB" w14:textId="77777777" w:rsidR="00752FCB" w:rsidRPr="00752FCB" w:rsidRDefault="00752FCB">
      <w:pPr>
        <w:numPr>
          <w:ilvl w:val="0"/>
          <w:numId w:val="4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099B0FDD" w14:textId="77777777" w:rsidR="00752FCB" w:rsidRPr="00752FCB" w:rsidRDefault="00752FCB" w:rsidP="00752FCB">
      <w:pPr>
        <w:spacing w:after="160" w:line="278" w:lineRule="auto"/>
        <w:rPr>
          <w:rFonts w:eastAsiaTheme="minorHAnsi"/>
          <w:kern w:val="2"/>
          <w:lang w:val="en-US" w:eastAsia="en-US"/>
          <w14:ligatures w14:val="standardContextual"/>
        </w:rPr>
      </w:pPr>
    </w:p>
    <w:p w14:paraId="1CBC3D1F"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are the main causes of fires at dumpsites in your view? (Select one)</w:t>
      </w:r>
    </w:p>
    <w:p w14:paraId="7C818BB3" w14:textId="77777777" w:rsidR="00752FCB" w:rsidRPr="00752FCB" w:rsidRDefault="00752FCB">
      <w:pPr>
        <w:numPr>
          <w:ilvl w:val="0"/>
          <w:numId w:val="4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Methane ignition from decomposing waste</w:t>
      </w:r>
    </w:p>
    <w:p w14:paraId="10D95023" w14:textId="77777777" w:rsidR="00752FCB" w:rsidRPr="00752FCB" w:rsidRDefault="00752FCB">
      <w:pPr>
        <w:numPr>
          <w:ilvl w:val="0"/>
          <w:numId w:val="4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Deliberate burning</w:t>
      </w:r>
    </w:p>
    <w:p w14:paraId="7BE3F6CC" w14:textId="77777777" w:rsidR="00752FCB" w:rsidRPr="00752FCB" w:rsidRDefault="00752FCB">
      <w:pPr>
        <w:numPr>
          <w:ilvl w:val="0"/>
          <w:numId w:val="4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Spontaneous combustion of waste</w:t>
      </w:r>
    </w:p>
    <w:p w14:paraId="737FF721" w14:textId="77777777" w:rsidR="00752FCB" w:rsidRPr="00752FCB" w:rsidRDefault="00752FCB">
      <w:pPr>
        <w:numPr>
          <w:ilvl w:val="0"/>
          <w:numId w:val="4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Electrical issues with nearby infrastructure</w:t>
      </w:r>
    </w:p>
    <w:p w14:paraId="0F38931E" w14:textId="77777777" w:rsidR="00752FCB" w:rsidRPr="00752FCB" w:rsidRDefault="00752FCB">
      <w:pPr>
        <w:numPr>
          <w:ilvl w:val="0"/>
          <w:numId w:val="4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Firefighting delays due to access</w:t>
      </w:r>
    </w:p>
    <w:p w14:paraId="0870AF8F" w14:textId="77777777" w:rsidR="00752FCB" w:rsidRPr="00752FCB" w:rsidRDefault="00752FCB" w:rsidP="00752FCB">
      <w:pPr>
        <w:spacing w:after="160" w:line="278" w:lineRule="auto"/>
        <w:rPr>
          <w:rFonts w:eastAsiaTheme="minorHAnsi"/>
          <w:kern w:val="2"/>
          <w:lang w:val="en-US" w:eastAsia="en-US"/>
          <w14:ligatures w14:val="standardContextual"/>
        </w:rPr>
      </w:pPr>
    </w:p>
    <w:p w14:paraId="660BA344"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Market</w:t>
      </w:r>
    </w:p>
    <w:p w14:paraId="678348E2"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Have you observed or experienced fire incidents in markets or market stalls?</w:t>
      </w:r>
    </w:p>
    <w:p w14:paraId="328FF67F" w14:textId="77777777" w:rsidR="00752FCB" w:rsidRPr="00752FCB" w:rsidRDefault="00752FCB">
      <w:pPr>
        <w:numPr>
          <w:ilvl w:val="0"/>
          <w:numId w:val="4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57F02B4B" w14:textId="77777777" w:rsidR="00752FCB" w:rsidRPr="00752FCB" w:rsidRDefault="00752FCB">
      <w:pPr>
        <w:numPr>
          <w:ilvl w:val="0"/>
          <w:numId w:val="4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33B9CF30" w14:textId="77777777" w:rsidR="00752FCB" w:rsidRPr="00752FCB" w:rsidRDefault="00752FCB">
      <w:pPr>
        <w:numPr>
          <w:ilvl w:val="0"/>
          <w:numId w:val="4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7A4E3056" w14:textId="77777777" w:rsidR="00752FCB" w:rsidRPr="00752FCB" w:rsidRDefault="00752FCB" w:rsidP="00752FCB">
      <w:pPr>
        <w:spacing w:after="160" w:line="278" w:lineRule="auto"/>
        <w:rPr>
          <w:rFonts w:eastAsiaTheme="minorHAnsi"/>
          <w:kern w:val="2"/>
          <w:lang w:val="en-US" w:eastAsia="en-US"/>
          <w14:ligatures w14:val="standardContextual"/>
        </w:rPr>
      </w:pPr>
    </w:p>
    <w:p w14:paraId="24A15385"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factors contribute to market fires? (Select one)</w:t>
      </w:r>
    </w:p>
    <w:p w14:paraId="5C0DEDF5"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Overloaded electrical connections</w:t>
      </w:r>
    </w:p>
    <w:p w14:paraId="1D6EA546"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Gas or open flame cooking at stalls</w:t>
      </w:r>
    </w:p>
    <w:p w14:paraId="38C73D08"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 spacing and access for firefighting</w:t>
      </w:r>
    </w:p>
    <w:p w14:paraId="4E7D2423"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Accumulation of flammable goods</w:t>
      </w:r>
    </w:p>
    <w:p w14:paraId="31E03074"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Inadequate firefighting equipment</w:t>
      </w:r>
    </w:p>
    <w:p w14:paraId="00AF8E89" w14:textId="77777777" w:rsidR="00752FCB" w:rsidRPr="00752FCB" w:rsidRDefault="00752FCB">
      <w:pPr>
        <w:numPr>
          <w:ilvl w:val="0"/>
          <w:numId w:val="4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Arson/vandalism</w:t>
      </w:r>
    </w:p>
    <w:p w14:paraId="69FBE0AE" w14:textId="77777777" w:rsidR="00752FCB" w:rsidRPr="00752FCB" w:rsidRDefault="00752FCB" w:rsidP="00752FCB">
      <w:pPr>
        <w:spacing w:after="160" w:line="278" w:lineRule="auto"/>
        <w:rPr>
          <w:rFonts w:eastAsiaTheme="minorHAnsi"/>
          <w:b/>
          <w:bCs/>
          <w:kern w:val="2"/>
          <w:lang w:val="en-US" w:eastAsia="en-US"/>
          <w14:ligatures w14:val="standardContextual"/>
        </w:rPr>
      </w:pPr>
    </w:p>
    <w:p w14:paraId="7EE754EA"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lastRenderedPageBreak/>
        <w:t>Home Industries</w:t>
      </w:r>
    </w:p>
    <w:p w14:paraId="0BB19B48"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For home-based industries, what are the primary fire risks? (Select one)</w:t>
      </w:r>
    </w:p>
    <w:p w14:paraId="379EDFD1"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Gas/charcoal stoves</w:t>
      </w:r>
    </w:p>
    <w:p w14:paraId="64FD136A"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Electrical adapters and unsafe wiring</w:t>
      </w:r>
    </w:p>
    <w:p w14:paraId="5BDEB614"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Storage of flammable liquids</w:t>
      </w:r>
    </w:p>
    <w:p w14:paraId="09FBFEAD"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Overcrowded stalls/workspaces</w:t>
      </w:r>
    </w:p>
    <w:p w14:paraId="2365EB6C"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 waste management</w:t>
      </w:r>
    </w:p>
    <w:p w14:paraId="18054708" w14:textId="77777777" w:rsidR="00752FCB" w:rsidRPr="00752FCB" w:rsidRDefault="00752FCB">
      <w:pPr>
        <w:numPr>
          <w:ilvl w:val="0"/>
          <w:numId w:val="4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Inadequate fire safety awareness</w:t>
      </w:r>
    </w:p>
    <w:p w14:paraId="1D82CB9C" w14:textId="77777777" w:rsidR="00752FCB" w:rsidRPr="00752FCB" w:rsidRDefault="00752FCB" w:rsidP="00752FCB">
      <w:pPr>
        <w:spacing w:after="160" w:line="278" w:lineRule="auto"/>
        <w:rPr>
          <w:rFonts w:eastAsiaTheme="minorHAnsi"/>
          <w:kern w:val="2"/>
          <w:lang w:val="en-US" w:eastAsia="en-US"/>
          <w14:ligatures w14:val="standardContextual"/>
        </w:rPr>
      </w:pPr>
    </w:p>
    <w:p w14:paraId="3DC9E103"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Do home-based industries typically have fire safety measures (extinguishers, fire blankets, first aid, evacuation routes)?</w:t>
      </w:r>
    </w:p>
    <w:p w14:paraId="04C9F28E" w14:textId="77777777" w:rsidR="00752FCB" w:rsidRPr="00752FCB" w:rsidRDefault="00752FCB">
      <w:pPr>
        <w:numPr>
          <w:ilvl w:val="0"/>
          <w:numId w:val="4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526AE97B" w14:textId="77777777" w:rsidR="00752FCB" w:rsidRPr="00752FCB" w:rsidRDefault="00752FCB">
      <w:pPr>
        <w:numPr>
          <w:ilvl w:val="0"/>
          <w:numId w:val="4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6A8C00DA" w14:textId="77777777" w:rsidR="00752FCB" w:rsidRPr="00752FCB" w:rsidRDefault="00752FCB">
      <w:pPr>
        <w:numPr>
          <w:ilvl w:val="0"/>
          <w:numId w:val="4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18099DFD" w14:textId="77777777" w:rsidR="00752FCB" w:rsidRPr="00752FCB" w:rsidRDefault="00752FCB" w:rsidP="00752FCB">
      <w:pPr>
        <w:spacing w:after="160" w:line="278" w:lineRule="auto"/>
        <w:rPr>
          <w:rFonts w:eastAsiaTheme="minorHAnsi"/>
          <w:kern w:val="2"/>
          <w:lang w:val="en-US" w:eastAsia="en-US"/>
          <w14:ligatures w14:val="standardContextual"/>
        </w:rPr>
      </w:pPr>
    </w:p>
    <w:p w14:paraId="43FEB0E0"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Section C: Impacts of Fire Incidents</w:t>
      </w:r>
    </w:p>
    <w:p w14:paraId="1CD46389"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Impact on Residents</w:t>
      </w:r>
    </w:p>
    <w:p w14:paraId="1AFB304D"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On a scale of 1 to 5, how severe are the personal and household impacts of urban fires (injury risk, displacement, loss of essentials)?</w:t>
      </w:r>
    </w:p>
    <w:p w14:paraId="3178AFEC" w14:textId="77777777" w:rsidR="00752FCB" w:rsidRPr="00752FCB" w:rsidRDefault="00752FCB">
      <w:pPr>
        <w:numPr>
          <w:ilvl w:val="0"/>
          <w:numId w:val="4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1 (Not severe)</w:t>
      </w:r>
    </w:p>
    <w:p w14:paraId="7E01C22E" w14:textId="77777777" w:rsidR="00752FCB" w:rsidRPr="00752FCB" w:rsidRDefault="00752FCB">
      <w:pPr>
        <w:numPr>
          <w:ilvl w:val="0"/>
          <w:numId w:val="4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2 (Mild)</w:t>
      </w:r>
    </w:p>
    <w:p w14:paraId="24834990" w14:textId="77777777" w:rsidR="00752FCB" w:rsidRPr="00752FCB" w:rsidRDefault="00752FCB">
      <w:pPr>
        <w:numPr>
          <w:ilvl w:val="0"/>
          <w:numId w:val="4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3 (Moderate)</w:t>
      </w:r>
    </w:p>
    <w:p w14:paraId="5BA9CDB0" w14:textId="77777777" w:rsidR="00752FCB" w:rsidRPr="00752FCB" w:rsidRDefault="00752FCB">
      <w:pPr>
        <w:numPr>
          <w:ilvl w:val="0"/>
          <w:numId w:val="4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4 (Severe)</w:t>
      </w:r>
    </w:p>
    <w:p w14:paraId="1C44B181" w14:textId="77777777" w:rsidR="00752FCB" w:rsidRPr="00752FCB" w:rsidRDefault="00752FCB">
      <w:pPr>
        <w:numPr>
          <w:ilvl w:val="0"/>
          <w:numId w:val="4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5 (Very severe)</w:t>
      </w:r>
    </w:p>
    <w:p w14:paraId="125A702B" w14:textId="77777777" w:rsidR="00752FCB" w:rsidRPr="00752FCB" w:rsidRDefault="00752FCB" w:rsidP="00752FCB">
      <w:pPr>
        <w:spacing w:after="160" w:line="278" w:lineRule="auto"/>
        <w:rPr>
          <w:rFonts w:eastAsiaTheme="minorHAnsi"/>
          <w:kern w:val="2"/>
          <w:lang w:val="en-US" w:eastAsia="en-US"/>
          <w14:ligatures w14:val="standardContextual"/>
        </w:rPr>
      </w:pPr>
    </w:p>
    <w:p w14:paraId="328DCDFB"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Have you or your neighbors ever been displaced due to a fire in Harare?</w:t>
      </w:r>
    </w:p>
    <w:p w14:paraId="0523DE0B" w14:textId="77777777" w:rsidR="00752FCB" w:rsidRPr="00752FCB" w:rsidRDefault="00752FCB">
      <w:pPr>
        <w:numPr>
          <w:ilvl w:val="0"/>
          <w:numId w:val="4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4C0A06E4" w14:textId="77777777" w:rsidR="00752FCB" w:rsidRPr="00752FCB" w:rsidRDefault="00752FCB">
      <w:pPr>
        <w:numPr>
          <w:ilvl w:val="0"/>
          <w:numId w:val="4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37B729D4" w14:textId="77777777" w:rsidR="00752FCB" w:rsidRPr="00752FCB" w:rsidRDefault="00752FCB">
      <w:pPr>
        <w:numPr>
          <w:ilvl w:val="0"/>
          <w:numId w:val="48"/>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08CC6B0F" w14:textId="77777777" w:rsidR="00752FCB" w:rsidRPr="00752FCB" w:rsidRDefault="00752FCB" w:rsidP="00752FCB">
      <w:pPr>
        <w:spacing w:after="160" w:line="278" w:lineRule="auto"/>
        <w:rPr>
          <w:rFonts w:eastAsiaTheme="minorHAnsi"/>
          <w:kern w:val="2"/>
          <w:lang w:val="en-US" w:eastAsia="en-US"/>
          <w14:ligatures w14:val="standardContextual"/>
        </w:rPr>
      </w:pPr>
    </w:p>
    <w:p w14:paraId="2533C50A"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types of support were most helpful after a fire incident? (Select one)</w:t>
      </w:r>
    </w:p>
    <w:p w14:paraId="4E1AD903"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Temporary shelter</w:t>
      </w:r>
    </w:p>
    <w:p w14:paraId="770433C2"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Food and basic needs</w:t>
      </w:r>
    </w:p>
    <w:p w14:paraId="77429A5A"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Financial assistance</w:t>
      </w:r>
    </w:p>
    <w:p w14:paraId="512858B8"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Medical care</w:t>
      </w:r>
    </w:p>
    <w:p w14:paraId="13E06596"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Rebuilding/repair assistance</w:t>
      </w:r>
    </w:p>
    <w:p w14:paraId="22A5DDB2"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Psychological support</w:t>
      </w:r>
    </w:p>
    <w:p w14:paraId="5036C3F7" w14:textId="77777777" w:rsidR="00752FCB" w:rsidRPr="00752FCB" w:rsidRDefault="00752FCB">
      <w:pPr>
        <w:numPr>
          <w:ilvl w:val="0"/>
          <w:numId w:val="49"/>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lastRenderedPageBreak/>
        <w:t>Community support</w:t>
      </w:r>
    </w:p>
    <w:p w14:paraId="6008AD73" w14:textId="77777777" w:rsidR="00752FCB" w:rsidRPr="00752FCB" w:rsidRDefault="00752FCB" w:rsidP="00752FCB">
      <w:pPr>
        <w:spacing w:after="160" w:line="278" w:lineRule="auto"/>
        <w:rPr>
          <w:rFonts w:eastAsiaTheme="minorHAnsi"/>
          <w:kern w:val="2"/>
          <w:lang w:val="en-US" w:eastAsia="en-US"/>
          <w14:ligatures w14:val="standardContextual"/>
        </w:rPr>
      </w:pPr>
    </w:p>
    <w:p w14:paraId="47F302FF"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Impact on Property</w:t>
      </w:r>
    </w:p>
    <w:p w14:paraId="50C6D1E5" w14:textId="77777777" w:rsidR="00752FCB" w:rsidRPr="00752FCB" w:rsidRDefault="00752FCB">
      <w:pPr>
        <w:numPr>
          <w:ilvl w:val="0"/>
          <w:numId w:val="26"/>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Please estimate the total property loss you have experienced due to fire in Harare (if none, write 0).</w:t>
      </w:r>
    </w:p>
    <w:p w14:paraId="766F0F30"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0</w:t>
      </w:r>
    </w:p>
    <w:p w14:paraId="1DA68BD7"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 xml:space="preserve">0-5%: Negligible </w:t>
      </w:r>
    </w:p>
    <w:p w14:paraId="194F840F"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5-15% Minor</w:t>
      </w:r>
    </w:p>
    <w:p w14:paraId="1A89FBD5"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15-30% Moderate</w:t>
      </w:r>
    </w:p>
    <w:p w14:paraId="3A8EDFB0"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30-60: Severe</w:t>
      </w:r>
    </w:p>
    <w:p w14:paraId="16283D74" w14:textId="77777777" w:rsidR="00752FCB" w:rsidRPr="00752FCB" w:rsidRDefault="00752FCB">
      <w:pPr>
        <w:numPr>
          <w:ilvl w:val="0"/>
          <w:numId w:val="62"/>
        </w:numPr>
        <w:spacing w:after="160" w:line="278" w:lineRule="auto"/>
        <w:contextualSpacing/>
        <w:rPr>
          <w:rFonts w:eastAsiaTheme="minorHAnsi"/>
          <w:color w:val="0D0D0D" w:themeColor="text1" w:themeTint="F2"/>
          <w:kern w:val="2"/>
          <w:lang w:val="en-US" w:eastAsia="en-US"/>
          <w14:ligatures w14:val="standardContextual"/>
        </w:rPr>
      </w:pPr>
      <w:r w:rsidRPr="00752FCB">
        <w:rPr>
          <w:rFonts w:eastAsiaTheme="minorHAnsi"/>
          <w:color w:val="0D0D0D" w:themeColor="text1" w:themeTint="F2"/>
          <w:kern w:val="2"/>
          <w:lang w:val="en-US" w:eastAsia="en-US"/>
          <w14:ligatures w14:val="standardContextual"/>
        </w:rPr>
        <w:t>&gt;60%: Critical/Catastrophic</w:t>
      </w:r>
    </w:p>
    <w:p w14:paraId="20CA4ECE" w14:textId="77777777" w:rsidR="00752FCB" w:rsidRPr="00752FCB" w:rsidRDefault="00752FCB" w:rsidP="00752FCB">
      <w:pPr>
        <w:spacing w:after="160" w:line="278" w:lineRule="auto"/>
        <w:ind w:left="1080"/>
        <w:contextualSpacing/>
        <w:rPr>
          <w:rFonts w:eastAsiaTheme="minorHAnsi"/>
          <w:color w:val="0D0D0D" w:themeColor="text1" w:themeTint="F2"/>
          <w:kern w:val="2"/>
          <w:lang w:val="en-US" w:eastAsia="en-US"/>
          <w14:ligatures w14:val="standardContextual"/>
        </w:rPr>
      </w:pPr>
    </w:p>
    <w:p w14:paraId="0C3DE924"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quickly were emergency services able to respond to fire incidents in your experience?</w:t>
      </w:r>
    </w:p>
    <w:p w14:paraId="3E25B550" w14:textId="77777777" w:rsidR="00752FCB" w:rsidRPr="00752FCB" w:rsidRDefault="00752FCB">
      <w:pPr>
        <w:numPr>
          <w:ilvl w:val="0"/>
          <w:numId w:val="5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quickly (within 10 minutes)</w:t>
      </w:r>
    </w:p>
    <w:p w14:paraId="47A9907C" w14:textId="77777777" w:rsidR="00752FCB" w:rsidRPr="00752FCB" w:rsidRDefault="00752FCB">
      <w:pPr>
        <w:numPr>
          <w:ilvl w:val="0"/>
          <w:numId w:val="5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Quickly (10–20 minutes)</w:t>
      </w:r>
    </w:p>
    <w:p w14:paraId="4F18B764" w14:textId="77777777" w:rsidR="00752FCB" w:rsidRPr="00752FCB" w:rsidRDefault="00752FCB">
      <w:pPr>
        <w:numPr>
          <w:ilvl w:val="0"/>
          <w:numId w:val="5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Moderate (21–40 minutes)</w:t>
      </w:r>
    </w:p>
    <w:p w14:paraId="02406913" w14:textId="77777777" w:rsidR="00752FCB" w:rsidRPr="00752FCB" w:rsidRDefault="00752FCB">
      <w:pPr>
        <w:numPr>
          <w:ilvl w:val="0"/>
          <w:numId w:val="5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Slow (41–60 minutes)</w:t>
      </w:r>
    </w:p>
    <w:p w14:paraId="7C0BA709" w14:textId="77777777" w:rsidR="00752FCB" w:rsidRPr="00752FCB" w:rsidRDefault="00752FCB">
      <w:pPr>
        <w:numPr>
          <w:ilvl w:val="0"/>
          <w:numId w:val="5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slow (&gt;60 minutes)</w:t>
      </w:r>
    </w:p>
    <w:p w14:paraId="6613F9C2" w14:textId="77777777" w:rsidR="00752FCB" w:rsidRPr="00752FCB" w:rsidRDefault="00752FCB" w:rsidP="00752FCB">
      <w:pPr>
        <w:spacing w:after="160" w:line="278" w:lineRule="auto"/>
        <w:rPr>
          <w:rFonts w:eastAsiaTheme="minorHAnsi"/>
          <w:kern w:val="2"/>
          <w:lang w:val="en-US" w:eastAsia="en-US"/>
          <w14:ligatures w14:val="standardContextual"/>
        </w:rPr>
      </w:pPr>
    </w:p>
    <w:p w14:paraId="27617134"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effective were post-fire recovery and rebuilding support services (insurance, government assistance, NGOs) in your experience?</w:t>
      </w:r>
    </w:p>
    <w:p w14:paraId="604096AE"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applicable</w:t>
      </w:r>
    </w:p>
    <w:p w14:paraId="28E1734B"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ineffective</w:t>
      </w:r>
    </w:p>
    <w:p w14:paraId="6C10D52B"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Ineffective</w:t>
      </w:r>
    </w:p>
    <w:p w14:paraId="5CCEB30D"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bookmarkStart w:id="184" w:name="_Hlk214265549"/>
      <w:r w:rsidRPr="00752FCB">
        <w:rPr>
          <w:rFonts w:eastAsiaTheme="minorHAnsi"/>
          <w:kern w:val="2"/>
          <w:lang w:val="en-US" w:eastAsia="en-US"/>
          <w14:ligatures w14:val="standardContextual"/>
        </w:rPr>
        <w:t>Neutral</w:t>
      </w:r>
    </w:p>
    <w:bookmarkEnd w:id="184"/>
    <w:p w14:paraId="00B7F13D"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Effective</w:t>
      </w:r>
    </w:p>
    <w:p w14:paraId="2BAE59C6" w14:textId="77777777" w:rsidR="00752FCB" w:rsidRPr="00752FCB" w:rsidRDefault="00752FCB">
      <w:pPr>
        <w:numPr>
          <w:ilvl w:val="0"/>
          <w:numId w:val="5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effective</w:t>
      </w:r>
    </w:p>
    <w:p w14:paraId="5AB6C5A4"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30C8F936"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Environmental Impacts</w:t>
      </w:r>
    </w:p>
    <w:p w14:paraId="290D597F"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Have fire incidents affected local environmental health (air quality, water contamination, soil) in your area?</w:t>
      </w:r>
    </w:p>
    <w:p w14:paraId="002F1E8E" w14:textId="77777777" w:rsidR="00752FCB" w:rsidRPr="00752FCB" w:rsidRDefault="00752FCB">
      <w:pPr>
        <w:numPr>
          <w:ilvl w:val="0"/>
          <w:numId w:val="5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2AB3D0A7" w14:textId="77777777" w:rsidR="00752FCB" w:rsidRPr="00752FCB" w:rsidRDefault="00752FCB">
      <w:pPr>
        <w:numPr>
          <w:ilvl w:val="0"/>
          <w:numId w:val="5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4F5870CF" w14:textId="77777777" w:rsidR="00752FCB" w:rsidRPr="00752FCB" w:rsidRDefault="00752FCB">
      <w:pPr>
        <w:numPr>
          <w:ilvl w:val="0"/>
          <w:numId w:val="52"/>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0EEC8AC5"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23946BAE"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What environmental effects do you think are caused by fire? (Select one)</w:t>
      </w:r>
    </w:p>
    <w:p w14:paraId="0FF3A9F6" w14:textId="77777777" w:rsidR="00752FCB" w:rsidRPr="00752FCB" w:rsidRDefault="00752FCB">
      <w:pPr>
        <w:numPr>
          <w:ilvl w:val="0"/>
          <w:numId w:val="5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Smoke and air irritation</w:t>
      </w:r>
    </w:p>
    <w:p w14:paraId="11CBFB3E" w14:textId="77777777" w:rsidR="00752FCB" w:rsidRPr="00752FCB" w:rsidRDefault="00752FCB">
      <w:pPr>
        <w:numPr>
          <w:ilvl w:val="0"/>
          <w:numId w:val="5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lastRenderedPageBreak/>
        <w:t>Contaminated water supply</w:t>
      </w:r>
    </w:p>
    <w:p w14:paraId="597227D4" w14:textId="77777777" w:rsidR="00752FCB" w:rsidRPr="00752FCB" w:rsidRDefault="00752FCB">
      <w:pPr>
        <w:numPr>
          <w:ilvl w:val="0"/>
          <w:numId w:val="5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Soil and ash deposition</w:t>
      </w:r>
    </w:p>
    <w:p w14:paraId="0B6ED399" w14:textId="77777777" w:rsidR="00752FCB" w:rsidRPr="00752FCB" w:rsidRDefault="00752FCB">
      <w:pPr>
        <w:numPr>
          <w:ilvl w:val="0"/>
          <w:numId w:val="5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Loss of vegetation</w:t>
      </w:r>
    </w:p>
    <w:p w14:paraId="35B8576B" w14:textId="77777777" w:rsidR="00752FCB" w:rsidRPr="00752FCB" w:rsidRDefault="00752FCB">
      <w:pPr>
        <w:numPr>
          <w:ilvl w:val="0"/>
          <w:numId w:val="53"/>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Wildlife disturbance</w:t>
      </w:r>
    </w:p>
    <w:p w14:paraId="7BFE7E9B" w14:textId="77777777" w:rsidR="00752FCB" w:rsidRPr="00752FCB" w:rsidRDefault="00752FCB" w:rsidP="00752FCB">
      <w:pPr>
        <w:spacing w:after="160" w:line="278" w:lineRule="auto"/>
        <w:rPr>
          <w:rFonts w:eastAsiaTheme="minorHAnsi"/>
          <w:kern w:val="2"/>
          <w:lang w:val="en-US" w:eastAsia="en-US"/>
          <w14:ligatures w14:val="standardContextual"/>
        </w:rPr>
      </w:pPr>
    </w:p>
    <w:p w14:paraId="6D4BFF3C" w14:textId="77777777" w:rsidR="00752FCB" w:rsidRPr="00752FCB" w:rsidRDefault="00752FCB" w:rsidP="00752FCB">
      <w:pPr>
        <w:spacing w:after="160" w:line="278" w:lineRule="auto"/>
        <w:rPr>
          <w:rFonts w:eastAsiaTheme="minorHAnsi"/>
          <w:b/>
          <w:bCs/>
          <w:kern w:val="2"/>
          <w:lang w:val="en-US" w:eastAsia="en-US"/>
          <w14:ligatures w14:val="standardContextual"/>
        </w:rPr>
      </w:pPr>
      <w:r w:rsidRPr="00752FCB">
        <w:rPr>
          <w:rFonts w:eastAsiaTheme="minorHAnsi"/>
          <w:b/>
          <w:bCs/>
          <w:kern w:val="2"/>
          <w:lang w:val="en-US" w:eastAsia="en-US"/>
          <w14:ligatures w14:val="standardContextual"/>
        </w:rPr>
        <w:t>Section D: Fire Prevention and Response Mechanisms</w:t>
      </w:r>
    </w:p>
    <w:p w14:paraId="178B959D"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would you rate the overall effectiveness of Harare City’s fire prevention and response systems?</w:t>
      </w:r>
    </w:p>
    <w:p w14:paraId="60F76267"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Excellent</w:t>
      </w:r>
    </w:p>
    <w:p w14:paraId="0D86F65E"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Good</w:t>
      </w:r>
    </w:p>
    <w:p w14:paraId="0DA62BAC"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Fair</w:t>
      </w:r>
    </w:p>
    <w:p w14:paraId="3AE62FD0"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Poor</w:t>
      </w:r>
    </w:p>
    <w:p w14:paraId="2BC51F99"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Very poor</w:t>
      </w:r>
    </w:p>
    <w:p w14:paraId="4459ECAD" w14:textId="77777777" w:rsidR="00752FCB" w:rsidRPr="00752FCB" w:rsidRDefault="00752FCB">
      <w:pPr>
        <w:numPr>
          <w:ilvl w:val="0"/>
          <w:numId w:val="54"/>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48D97640" w14:textId="77777777" w:rsidR="00752FCB" w:rsidRPr="00752FCB" w:rsidRDefault="00752FCB" w:rsidP="00752FCB">
      <w:pPr>
        <w:spacing w:after="160" w:line="278" w:lineRule="auto"/>
        <w:rPr>
          <w:rFonts w:eastAsiaTheme="minorHAnsi"/>
          <w:kern w:val="2"/>
          <w:lang w:val="en-US" w:eastAsia="en-US"/>
          <w14:ligatures w14:val="standardContextual"/>
        </w:rPr>
      </w:pPr>
    </w:p>
    <w:p w14:paraId="599A4114"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Which area need the most improvement? (Select one)</w:t>
      </w:r>
    </w:p>
    <w:p w14:paraId="0DBF6F37"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Public awareness and education</w:t>
      </w:r>
    </w:p>
    <w:p w14:paraId="041A4762"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Fire code enforcement and licensing</w:t>
      </w:r>
    </w:p>
    <w:p w14:paraId="7F312921"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Accessibility of fire stations and water supply</w:t>
      </w:r>
    </w:p>
    <w:p w14:paraId="1C03CF7A"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Training of residents and business owners</w:t>
      </w:r>
    </w:p>
    <w:p w14:paraId="593B31CB"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Availability and maintenance of firefighting equipment</w:t>
      </w:r>
    </w:p>
    <w:p w14:paraId="4EF2149C"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Emergency communication and reporting systems</w:t>
      </w:r>
    </w:p>
    <w:p w14:paraId="380D72AC"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Incident investigation and accountability</w:t>
      </w:r>
    </w:p>
    <w:p w14:paraId="76F50DB1" w14:textId="77777777" w:rsidR="00752FCB" w:rsidRPr="00752FCB" w:rsidRDefault="00752FCB">
      <w:pPr>
        <w:numPr>
          <w:ilvl w:val="0"/>
          <w:numId w:val="55"/>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Coordination between agencies (police, fire, health, municipalities)</w:t>
      </w:r>
    </w:p>
    <w:p w14:paraId="321B3E01" w14:textId="77777777" w:rsidR="00752FCB" w:rsidRPr="00752FCB" w:rsidRDefault="00752FCB" w:rsidP="00752FCB">
      <w:pPr>
        <w:spacing w:after="160" w:line="278" w:lineRule="auto"/>
        <w:rPr>
          <w:rFonts w:eastAsiaTheme="minorHAnsi"/>
          <w:kern w:val="2"/>
          <w:lang w:val="en-US" w:eastAsia="en-US"/>
          <w14:ligatures w14:val="standardContextual"/>
        </w:rPr>
      </w:pPr>
    </w:p>
    <w:p w14:paraId="5A268C32"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How accessible are fire safety resources for you?</w:t>
      </w:r>
    </w:p>
    <w:p w14:paraId="13DD4038" w14:textId="77777777" w:rsidR="00752FCB" w:rsidRPr="00752FCB" w:rsidRDefault="00752FCB">
      <w:pPr>
        <w:numPr>
          <w:ilvl w:val="0"/>
          <w:numId w:val="5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Fire stations and emergency numbers are easily accessible</w:t>
      </w:r>
    </w:p>
    <w:p w14:paraId="29F566F5" w14:textId="77777777" w:rsidR="00752FCB" w:rsidRPr="00752FCB" w:rsidRDefault="00752FCB">
      <w:pPr>
        <w:numPr>
          <w:ilvl w:val="0"/>
          <w:numId w:val="5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Moderately accessible</w:t>
      </w:r>
    </w:p>
    <w:p w14:paraId="467B8AD6" w14:textId="77777777" w:rsidR="00752FCB" w:rsidRPr="00752FCB" w:rsidRDefault="00752FCB">
      <w:pPr>
        <w:numPr>
          <w:ilvl w:val="0"/>
          <w:numId w:val="5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easily accessible</w:t>
      </w:r>
    </w:p>
    <w:p w14:paraId="0C8A18AD" w14:textId="77777777" w:rsidR="00752FCB" w:rsidRPr="00752FCB" w:rsidRDefault="00752FCB" w:rsidP="00752FCB">
      <w:pPr>
        <w:spacing w:after="160" w:line="278" w:lineRule="auto"/>
        <w:rPr>
          <w:rFonts w:eastAsiaTheme="minorHAnsi"/>
          <w:kern w:val="2"/>
          <w:lang w:val="en-US" w:eastAsia="en-US"/>
          <w14:ligatures w14:val="standardContextual"/>
        </w:rPr>
      </w:pPr>
    </w:p>
    <w:p w14:paraId="28E14BAA"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Are you aware of any local programs or campaigns focused on fire safety in Harare?</w:t>
      </w:r>
    </w:p>
    <w:p w14:paraId="66206FAE" w14:textId="77777777" w:rsidR="00752FCB" w:rsidRPr="00752FCB" w:rsidRDefault="00752FCB">
      <w:pPr>
        <w:numPr>
          <w:ilvl w:val="0"/>
          <w:numId w:val="5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05694586" w14:textId="77777777" w:rsidR="00752FCB" w:rsidRPr="00752FCB" w:rsidRDefault="00752FCB">
      <w:pPr>
        <w:numPr>
          <w:ilvl w:val="0"/>
          <w:numId w:val="5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329CDAF4" w14:textId="77777777" w:rsidR="00752FCB" w:rsidRPr="00752FCB" w:rsidRDefault="00752FCB">
      <w:pPr>
        <w:numPr>
          <w:ilvl w:val="0"/>
          <w:numId w:val="57"/>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Not sure</w:t>
      </w:r>
    </w:p>
    <w:p w14:paraId="4688A219"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02BF82A9"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color w:val="000000" w:themeColor="text1"/>
          <w:kern w:val="2"/>
          <w:lang w:val="en-US" w:eastAsia="en-US"/>
          <w14:ligatures w14:val="standardContextual"/>
        </w:rPr>
        <w:t>Which</w:t>
      </w:r>
      <w:r w:rsidRPr="00752FCB">
        <w:rPr>
          <w:rFonts w:eastAsiaTheme="minorHAnsi"/>
          <w:kern w:val="2"/>
          <w:lang w:val="en-US" w:eastAsia="en-US"/>
          <w14:ligatures w14:val="standardContextual"/>
        </w:rPr>
        <w:t xml:space="preserve"> programs have you participated in or found useful? (Select one)</w:t>
      </w:r>
    </w:p>
    <w:p w14:paraId="08043E40" w14:textId="77777777" w:rsidR="00752FCB" w:rsidRPr="00752FCB" w:rsidRDefault="00752FCB">
      <w:pPr>
        <w:numPr>
          <w:ilvl w:val="0"/>
          <w:numId w:val="59"/>
        </w:numPr>
        <w:spacing w:after="160" w:line="278" w:lineRule="auto"/>
        <w:contextualSpacing/>
        <w:rPr>
          <w:rFonts w:eastAsiaTheme="minorHAnsi"/>
          <w:color w:val="000000" w:themeColor="text1"/>
          <w:kern w:val="2"/>
          <w:lang w:val="en-US" w:eastAsia="en-US"/>
          <w14:ligatures w14:val="standardContextual"/>
        </w:rPr>
      </w:pPr>
      <w:r w:rsidRPr="00752FCB">
        <w:rPr>
          <w:rFonts w:eastAsiaTheme="minorHAnsi"/>
          <w:color w:val="000000" w:themeColor="text1"/>
          <w:kern w:val="2"/>
          <w:lang w:val="en-US" w:eastAsia="en-US"/>
          <w14:ligatures w14:val="standardContextual"/>
        </w:rPr>
        <w:t>Industrial firefighting programme</w:t>
      </w:r>
    </w:p>
    <w:p w14:paraId="25D4E137" w14:textId="77777777" w:rsidR="00752FCB" w:rsidRPr="00752FCB" w:rsidRDefault="00752FCB">
      <w:pPr>
        <w:numPr>
          <w:ilvl w:val="0"/>
          <w:numId w:val="59"/>
        </w:numPr>
        <w:spacing w:after="160" w:line="278" w:lineRule="auto"/>
        <w:contextualSpacing/>
        <w:rPr>
          <w:rFonts w:eastAsiaTheme="minorHAnsi"/>
          <w:color w:val="000000" w:themeColor="text1"/>
          <w:kern w:val="2"/>
          <w:lang w:val="en-US" w:eastAsia="en-US"/>
          <w14:ligatures w14:val="standardContextual"/>
        </w:rPr>
      </w:pPr>
      <w:r w:rsidRPr="00752FCB">
        <w:rPr>
          <w:rFonts w:eastAsiaTheme="minorHAnsi"/>
          <w:color w:val="000000" w:themeColor="text1"/>
          <w:kern w:val="2"/>
          <w:lang w:val="en-US" w:eastAsia="en-US"/>
          <w14:ligatures w14:val="standardContextual"/>
        </w:rPr>
        <w:t>Basic fire safety programmes</w:t>
      </w:r>
    </w:p>
    <w:p w14:paraId="72D0BBC8" w14:textId="77777777" w:rsidR="00752FCB" w:rsidRPr="00752FCB" w:rsidRDefault="00752FCB">
      <w:pPr>
        <w:numPr>
          <w:ilvl w:val="0"/>
          <w:numId w:val="59"/>
        </w:numPr>
        <w:spacing w:after="160" w:line="278" w:lineRule="auto"/>
        <w:contextualSpacing/>
        <w:rPr>
          <w:rFonts w:eastAsiaTheme="minorHAnsi"/>
          <w:color w:val="000000" w:themeColor="text1"/>
          <w:kern w:val="2"/>
          <w:lang w:val="en-US" w:eastAsia="en-US"/>
          <w14:ligatures w14:val="standardContextual"/>
        </w:rPr>
      </w:pPr>
      <w:r w:rsidRPr="00752FCB">
        <w:rPr>
          <w:rFonts w:eastAsiaTheme="minorHAnsi"/>
          <w:color w:val="000000" w:themeColor="text1"/>
          <w:kern w:val="2"/>
          <w:lang w:val="en-US" w:eastAsia="en-US"/>
          <w14:ligatures w14:val="standardContextual"/>
        </w:rPr>
        <w:lastRenderedPageBreak/>
        <w:t xml:space="preserve">Recruit firefighter training programme </w:t>
      </w:r>
    </w:p>
    <w:p w14:paraId="4CC0DD2E" w14:textId="77777777" w:rsidR="00752FCB" w:rsidRPr="00752FCB" w:rsidRDefault="00752FCB">
      <w:pPr>
        <w:numPr>
          <w:ilvl w:val="0"/>
          <w:numId w:val="59"/>
        </w:numPr>
        <w:spacing w:after="160" w:line="278" w:lineRule="auto"/>
        <w:contextualSpacing/>
        <w:rPr>
          <w:rFonts w:eastAsiaTheme="minorHAnsi"/>
          <w:color w:val="000000" w:themeColor="text1"/>
          <w:kern w:val="2"/>
          <w:lang w:val="en-US" w:eastAsia="en-US"/>
          <w14:ligatures w14:val="standardContextual"/>
        </w:rPr>
      </w:pPr>
      <w:r w:rsidRPr="00752FCB">
        <w:rPr>
          <w:rFonts w:eastAsiaTheme="minorHAnsi"/>
          <w:color w:val="000000" w:themeColor="text1"/>
          <w:kern w:val="2"/>
          <w:lang w:val="en-US" w:eastAsia="en-US"/>
          <w14:ligatures w14:val="standardContextual"/>
        </w:rPr>
        <w:t>Fire safety awareness programmes</w:t>
      </w:r>
    </w:p>
    <w:p w14:paraId="1DF21723" w14:textId="77777777" w:rsidR="00752FCB" w:rsidRPr="00752FCB" w:rsidRDefault="00752FCB">
      <w:pPr>
        <w:numPr>
          <w:ilvl w:val="0"/>
          <w:numId w:val="59"/>
        </w:numPr>
        <w:spacing w:after="160" w:line="278" w:lineRule="auto"/>
        <w:contextualSpacing/>
        <w:rPr>
          <w:rFonts w:eastAsiaTheme="minorHAnsi"/>
          <w:color w:val="000000" w:themeColor="text1"/>
          <w:kern w:val="2"/>
          <w:lang w:val="en-US" w:eastAsia="en-US"/>
          <w14:ligatures w14:val="standardContextual"/>
        </w:rPr>
      </w:pPr>
      <w:r w:rsidRPr="00752FCB">
        <w:rPr>
          <w:rFonts w:eastAsiaTheme="minorHAnsi"/>
          <w:color w:val="000000" w:themeColor="text1"/>
          <w:kern w:val="2"/>
          <w:lang w:val="en-US" w:eastAsia="en-US"/>
          <w14:ligatures w14:val="standardContextual"/>
        </w:rPr>
        <w:t xml:space="preserve">Nil </w:t>
      </w:r>
    </w:p>
    <w:p w14:paraId="6B6E62FE" w14:textId="77777777" w:rsidR="00752FCB" w:rsidRPr="00752FCB" w:rsidRDefault="00752FCB" w:rsidP="00752FCB">
      <w:pPr>
        <w:spacing w:after="160" w:line="278" w:lineRule="auto"/>
        <w:rPr>
          <w:rFonts w:eastAsiaTheme="minorHAnsi"/>
          <w:kern w:val="2"/>
          <w:lang w:val="en-US" w:eastAsia="en-US"/>
          <w14:ligatures w14:val="standardContextual"/>
        </w:rPr>
      </w:pPr>
    </w:p>
    <w:p w14:paraId="04D89CD8"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In your view, what measures would most reduce fire risk in urban Harare? (Select one)</w:t>
      </w:r>
    </w:p>
    <w:p w14:paraId="0505B39C"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 xml:space="preserve">Regular electrical safety inspections and upgrades </w:t>
      </w:r>
    </w:p>
    <w:p w14:paraId="46C8106F"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Public education on fire prevention</w:t>
      </w:r>
    </w:p>
    <w:p w14:paraId="042B44F9"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Enforcing safe cooking and heating practices</w:t>
      </w:r>
    </w:p>
    <w:p w14:paraId="0B01C559"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Improved waste management and dumpsite management</w:t>
      </w:r>
    </w:p>
    <w:p w14:paraId="5DFCA658"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Upgrading water supply and fire hydrants</w:t>
      </w:r>
    </w:p>
    <w:p w14:paraId="408674F5"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Better urban planning and access for emergency services</w:t>
      </w:r>
    </w:p>
    <w:p w14:paraId="01419F91"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Subsidies or incentives for safe electrical equipment</w:t>
      </w:r>
    </w:p>
    <w:p w14:paraId="4D9338DE" w14:textId="77777777" w:rsidR="00752FCB" w:rsidRPr="00752FCB" w:rsidRDefault="00752FCB">
      <w:pPr>
        <w:numPr>
          <w:ilvl w:val="0"/>
          <w:numId w:val="60"/>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Community-based fire watch programs</w:t>
      </w:r>
    </w:p>
    <w:p w14:paraId="23F98986" w14:textId="77777777" w:rsidR="00752FCB" w:rsidRPr="00752FCB" w:rsidRDefault="00752FCB" w:rsidP="00752FCB">
      <w:pPr>
        <w:spacing w:after="160" w:line="278" w:lineRule="auto"/>
        <w:rPr>
          <w:rFonts w:eastAsiaTheme="minorHAnsi"/>
          <w:kern w:val="2"/>
          <w:lang w:val="en-US" w:eastAsia="en-US"/>
          <w14:ligatures w14:val="standardContextual"/>
        </w:rPr>
      </w:pPr>
    </w:p>
    <w:p w14:paraId="371D95B3" w14:textId="77777777" w:rsidR="00752FCB" w:rsidRPr="00752FCB" w:rsidRDefault="00752FCB">
      <w:pPr>
        <w:numPr>
          <w:ilvl w:val="0"/>
          <w:numId w:val="26"/>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 xml:space="preserve">Would you support the implementation of sustainable fire safety strategies if they were introduced?  </w:t>
      </w:r>
    </w:p>
    <w:p w14:paraId="0504BA77" w14:textId="77777777" w:rsidR="00752FCB" w:rsidRPr="00752FCB" w:rsidRDefault="00752FCB">
      <w:pPr>
        <w:numPr>
          <w:ilvl w:val="0"/>
          <w:numId w:val="6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Yes</w:t>
      </w:r>
    </w:p>
    <w:p w14:paraId="217210D1" w14:textId="77777777" w:rsidR="00752FCB" w:rsidRPr="00752FCB" w:rsidRDefault="00752FCB">
      <w:pPr>
        <w:numPr>
          <w:ilvl w:val="0"/>
          <w:numId w:val="6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No</w:t>
      </w:r>
    </w:p>
    <w:p w14:paraId="2FFBF480" w14:textId="77777777" w:rsidR="00752FCB" w:rsidRPr="00752FCB" w:rsidRDefault="00752FCB">
      <w:pPr>
        <w:numPr>
          <w:ilvl w:val="0"/>
          <w:numId w:val="61"/>
        </w:numPr>
        <w:spacing w:after="160" w:line="278" w:lineRule="auto"/>
        <w:contextualSpacing/>
        <w:rPr>
          <w:rFonts w:eastAsiaTheme="minorHAnsi"/>
          <w:kern w:val="2"/>
          <w:lang w:val="en-US" w:eastAsia="en-US"/>
          <w14:ligatures w14:val="standardContextual"/>
        </w:rPr>
      </w:pPr>
      <w:r w:rsidRPr="00752FCB">
        <w:rPr>
          <w:rFonts w:eastAsiaTheme="minorHAnsi"/>
          <w:kern w:val="2"/>
          <w:lang w:val="en-US" w:eastAsia="en-US"/>
          <w14:ligatures w14:val="standardContextual"/>
        </w:rPr>
        <w:t>Maybe</w:t>
      </w:r>
    </w:p>
    <w:p w14:paraId="6FDF8C6B" w14:textId="77777777" w:rsidR="00752FCB" w:rsidRPr="00752FCB" w:rsidRDefault="00752FCB" w:rsidP="00752FCB">
      <w:pPr>
        <w:spacing w:after="160" w:line="278" w:lineRule="auto"/>
        <w:ind w:left="1080"/>
        <w:contextualSpacing/>
        <w:rPr>
          <w:rFonts w:eastAsiaTheme="minorHAnsi"/>
          <w:kern w:val="2"/>
          <w:lang w:val="en-US" w:eastAsia="en-US"/>
          <w14:ligatures w14:val="standardContextual"/>
        </w:rPr>
      </w:pPr>
    </w:p>
    <w:p w14:paraId="6E1ACE5E" w14:textId="77777777" w:rsidR="00752FCB" w:rsidRPr="00752FCB" w:rsidRDefault="00752FCB" w:rsidP="00752FCB">
      <w:pPr>
        <w:spacing w:after="160" w:line="278" w:lineRule="auto"/>
        <w:rPr>
          <w:rFonts w:eastAsiaTheme="minorHAnsi"/>
          <w:kern w:val="2"/>
          <w:lang w:val="en-US" w:eastAsia="en-US"/>
          <w14:ligatures w14:val="standardContextual"/>
        </w:rPr>
      </w:pPr>
    </w:p>
    <w:p w14:paraId="1D82C92F" w14:textId="77777777" w:rsidR="00752FCB" w:rsidRPr="00752FCB" w:rsidRDefault="00752FCB" w:rsidP="00752FCB">
      <w:pPr>
        <w:rPr>
          <w:lang w:eastAsia="en-US"/>
        </w:rPr>
      </w:pPr>
    </w:p>
    <w:p w14:paraId="387C1212" w14:textId="7A122850" w:rsidR="00B118CD" w:rsidRDefault="0075115E" w:rsidP="002B358B">
      <w:pPr>
        <w:keepNext/>
        <w:keepLines/>
        <w:spacing w:before="40" w:line="360" w:lineRule="auto"/>
        <w:jc w:val="both"/>
        <w:outlineLvl w:val="1"/>
        <w:rPr>
          <w:b/>
          <w:color w:val="000000" w:themeColor="text1"/>
        </w:rPr>
      </w:pPr>
      <w:r w:rsidRPr="00BE2000">
        <w:rPr>
          <w:b/>
          <w:color w:val="000000" w:themeColor="text1"/>
        </w:rPr>
        <w:t xml:space="preserve">    </w:t>
      </w:r>
      <w:bookmarkStart w:id="185" w:name="_Toc215652957"/>
      <w:r w:rsidRPr="00BE2000">
        <w:rPr>
          <w:b/>
          <w:color w:val="000000" w:themeColor="text1"/>
        </w:rPr>
        <w:t xml:space="preserve"> </w:t>
      </w:r>
      <w:bookmarkEnd w:id="185"/>
      <w:r w:rsidRPr="00BE2000">
        <w:rPr>
          <w:b/>
          <w:color w:val="000000" w:themeColor="text1"/>
        </w:rPr>
        <w:tab/>
      </w:r>
    </w:p>
    <w:p w14:paraId="1F03DB80" w14:textId="3F0094ED" w:rsidR="00B118CD" w:rsidRDefault="00B118CD" w:rsidP="002B358B">
      <w:pPr>
        <w:keepNext/>
        <w:keepLines/>
        <w:spacing w:before="40" w:line="360" w:lineRule="auto"/>
        <w:jc w:val="both"/>
        <w:outlineLvl w:val="1"/>
        <w:rPr>
          <w:b/>
          <w:color w:val="000000" w:themeColor="text1"/>
        </w:rPr>
      </w:pPr>
    </w:p>
    <w:p w14:paraId="49AC2F70" w14:textId="2E70F0F5" w:rsidR="00B118CD" w:rsidRDefault="00B118CD" w:rsidP="002B358B">
      <w:pPr>
        <w:keepNext/>
        <w:keepLines/>
        <w:spacing w:before="40" w:line="360" w:lineRule="auto"/>
        <w:jc w:val="both"/>
        <w:outlineLvl w:val="1"/>
        <w:rPr>
          <w:b/>
          <w:color w:val="000000" w:themeColor="text1"/>
        </w:rPr>
      </w:pPr>
    </w:p>
    <w:p w14:paraId="6586AEAD" w14:textId="4933DE6D" w:rsidR="00B118CD" w:rsidRDefault="00B118CD" w:rsidP="002B358B">
      <w:pPr>
        <w:keepNext/>
        <w:keepLines/>
        <w:spacing w:before="40" w:line="360" w:lineRule="auto"/>
        <w:jc w:val="both"/>
        <w:outlineLvl w:val="1"/>
        <w:rPr>
          <w:b/>
          <w:color w:val="000000" w:themeColor="text1"/>
        </w:rPr>
      </w:pPr>
    </w:p>
    <w:p w14:paraId="320C2FA5" w14:textId="0CA24B6A" w:rsidR="00B118CD" w:rsidRDefault="00B118CD" w:rsidP="002B358B">
      <w:pPr>
        <w:jc w:val="both"/>
      </w:pPr>
    </w:p>
    <w:p w14:paraId="209A0361" w14:textId="25E2E61A" w:rsidR="00B118CD" w:rsidRDefault="00B118CD" w:rsidP="002B358B">
      <w:pPr>
        <w:jc w:val="both"/>
      </w:pPr>
    </w:p>
    <w:sectPr w:rsidR="00B118CD" w:rsidSect="005C1C7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B05F6" w14:textId="77777777" w:rsidR="00F65C12" w:rsidRDefault="00F65C12" w:rsidP="005C1C7A">
      <w:r>
        <w:separator/>
      </w:r>
    </w:p>
  </w:endnote>
  <w:endnote w:type="continuationSeparator" w:id="0">
    <w:p w14:paraId="195C4604" w14:textId="77777777" w:rsidR="00F65C12" w:rsidRDefault="00F65C12" w:rsidP="005C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385FA" w14:textId="0F467871" w:rsidR="005C1C7A" w:rsidRDefault="005C1C7A">
    <w:pPr>
      <w:pStyle w:val="Footer"/>
      <w:jc w:val="center"/>
    </w:pPr>
  </w:p>
  <w:p w14:paraId="5CF0678A" w14:textId="77777777" w:rsidR="005C1C7A" w:rsidRDefault="005C1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2CF8F" w14:textId="785C8C64" w:rsidR="005C1C7A" w:rsidRDefault="00D157A6" w:rsidP="00D157A6">
    <w:pPr>
      <w:jc w:val="center"/>
    </w:pPr>
    <w:r>
      <w:rPr>
        <w:noProof/>
      </w:rPr>
      <mc:AlternateContent>
        <mc:Choice Requires="wps">
          <w:drawing>
            <wp:anchor distT="0" distB="0" distL="114300" distR="114300" simplePos="0" relativeHeight="251659264" behindDoc="0" locked="0" layoutInCell="1" allowOverlap="1" wp14:anchorId="615E5FB8" wp14:editId="7C8AFF1D">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D3198C"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E5532F" w:rsidRPr="00E5532F">
      <w:rPr>
        <w:rFonts w:asciiTheme="majorHAnsi" w:eastAsiaTheme="majorEastAsia" w:hAnsiTheme="majorHAnsi" w:cstheme="majorBidi"/>
        <w:noProof/>
      </w:rPr>
      <w:t>132</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CD403" w14:textId="77777777" w:rsidR="00F65C12" w:rsidRDefault="00F65C12" w:rsidP="005C1C7A">
      <w:r>
        <w:separator/>
      </w:r>
    </w:p>
  </w:footnote>
  <w:footnote w:type="continuationSeparator" w:id="0">
    <w:p w14:paraId="5F9A3414" w14:textId="77777777" w:rsidR="00F65C12" w:rsidRDefault="00F65C12" w:rsidP="005C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4E0"/>
    <w:multiLevelType w:val="hybridMultilevel"/>
    <w:tmpl w:val="8D2AED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D256A7"/>
    <w:multiLevelType w:val="hybridMultilevel"/>
    <w:tmpl w:val="0C6253A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5621D6C"/>
    <w:multiLevelType w:val="hybridMultilevel"/>
    <w:tmpl w:val="C8CCF3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57B21"/>
    <w:multiLevelType w:val="hybridMultilevel"/>
    <w:tmpl w:val="034A6CF0"/>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15:restartNumberingAfterBreak="0">
    <w:nsid w:val="0889313F"/>
    <w:multiLevelType w:val="hybridMultilevel"/>
    <w:tmpl w:val="E3F82D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0427DA"/>
    <w:multiLevelType w:val="hybridMultilevel"/>
    <w:tmpl w:val="156E75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40D61"/>
    <w:multiLevelType w:val="hybridMultilevel"/>
    <w:tmpl w:val="04D001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70091A"/>
    <w:multiLevelType w:val="hybridMultilevel"/>
    <w:tmpl w:val="94C839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100AC"/>
    <w:multiLevelType w:val="hybridMultilevel"/>
    <w:tmpl w:val="FF6802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76450E"/>
    <w:multiLevelType w:val="hybridMultilevel"/>
    <w:tmpl w:val="D50E16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6B5125"/>
    <w:multiLevelType w:val="hybridMultilevel"/>
    <w:tmpl w:val="60CCEB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B113C"/>
    <w:multiLevelType w:val="hybridMultilevel"/>
    <w:tmpl w:val="C608B0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1E0819"/>
    <w:multiLevelType w:val="hybridMultilevel"/>
    <w:tmpl w:val="876EFCC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F8020FA"/>
    <w:multiLevelType w:val="hybridMultilevel"/>
    <w:tmpl w:val="876EFC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CA2EA6"/>
    <w:multiLevelType w:val="hybridMultilevel"/>
    <w:tmpl w:val="8BFCC9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B02C85"/>
    <w:multiLevelType w:val="hybridMultilevel"/>
    <w:tmpl w:val="33F0F0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3C4F31"/>
    <w:multiLevelType w:val="hybridMultilevel"/>
    <w:tmpl w:val="8D2AED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D10E49"/>
    <w:multiLevelType w:val="hybridMultilevel"/>
    <w:tmpl w:val="8A1E3A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F101C3"/>
    <w:multiLevelType w:val="hybridMultilevel"/>
    <w:tmpl w:val="94EE11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847321"/>
    <w:multiLevelType w:val="hybridMultilevel"/>
    <w:tmpl w:val="33080F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15B21A8"/>
    <w:multiLevelType w:val="hybridMultilevel"/>
    <w:tmpl w:val="DD581C2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907E39"/>
    <w:multiLevelType w:val="hybridMultilevel"/>
    <w:tmpl w:val="60CCEB2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37B427A"/>
    <w:multiLevelType w:val="hybridMultilevel"/>
    <w:tmpl w:val="0838A03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F309E8"/>
    <w:multiLevelType w:val="hybridMultilevel"/>
    <w:tmpl w:val="CD0E5194"/>
    <w:lvl w:ilvl="0" w:tplc="0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54B38ED"/>
    <w:multiLevelType w:val="hybridMultilevel"/>
    <w:tmpl w:val="1E96E4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D45259"/>
    <w:multiLevelType w:val="hybridMultilevel"/>
    <w:tmpl w:val="C16A9A4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214A75"/>
    <w:multiLevelType w:val="hybridMultilevel"/>
    <w:tmpl w:val="80746A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A85221"/>
    <w:multiLevelType w:val="hybridMultilevel"/>
    <w:tmpl w:val="222AEA48"/>
    <w:lvl w:ilvl="0" w:tplc="3009001B">
      <w:start w:val="1"/>
      <w:numFmt w:val="lowerRoman"/>
      <w:lvlText w:val="%1."/>
      <w:lvlJc w:val="right"/>
      <w:pPr>
        <w:ind w:left="770" w:hanging="360"/>
      </w:pPr>
    </w:lvl>
    <w:lvl w:ilvl="1" w:tplc="30090019" w:tentative="1">
      <w:start w:val="1"/>
      <w:numFmt w:val="lowerLetter"/>
      <w:lvlText w:val="%2."/>
      <w:lvlJc w:val="left"/>
      <w:pPr>
        <w:ind w:left="1490" w:hanging="360"/>
      </w:pPr>
    </w:lvl>
    <w:lvl w:ilvl="2" w:tplc="3009001B" w:tentative="1">
      <w:start w:val="1"/>
      <w:numFmt w:val="lowerRoman"/>
      <w:lvlText w:val="%3."/>
      <w:lvlJc w:val="right"/>
      <w:pPr>
        <w:ind w:left="2210" w:hanging="180"/>
      </w:pPr>
    </w:lvl>
    <w:lvl w:ilvl="3" w:tplc="3009000F" w:tentative="1">
      <w:start w:val="1"/>
      <w:numFmt w:val="decimal"/>
      <w:lvlText w:val="%4."/>
      <w:lvlJc w:val="left"/>
      <w:pPr>
        <w:ind w:left="2930" w:hanging="360"/>
      </w:pPr>
    </w:lvl>
    <w:lvl w:ilvl="4" w:tplc="30090019" w:tentative="1">
      <w:start w:val="1"/>
      <w:numFmt w:val="lowerLetter"/>
      <w:lvlText w:val="%5."/>
      <w:lvlJc w:val="left"/>
      <w:pPr>
        <w:ind w:left="3650" w:hanging="360"/>
      </w:pPr>
    </w:lvl>
    <w:lvl w:ilvl="5" w:tplc="3009001B" w:tentative="1">
      <w:start w:val="1"/>
      <w:numFmt w:val="lowerRoman"/>
      <w:lvlText w:val="%6."/>
      <w:lvlJc w:val="right"/>
      <w:pPr>
        <w:ind w:left="4370" w:hanging="180"/>
      </w:pPr>
    </w:lvl>
    <w:lvl w:ilvl="6" w:tplc="3009000F" w:tentative="1">
      <w:start w:val="1"/>
      <w:numFmt w:val="decimal"/>
      <w:lvlText w:val="%7."/>
      <w:lvlJc w:val="left"/>
      <w:pPr>
        <w:ind w:left="5090" w:hanging="360"/>
      </w:pPr>
    </w:lvl>
    <w:lvl w:ilvl="7" w:tplc="30090019" w:tentative="1">
      <w:start w:val="1"/>
      <w:numFmt w:val="lowerLetter"/>
      <w:lvlText w:val="%8."/>
      <w:lvlJc w:val="left"/>
      <w:pPr>
        <w:ind w:left="5810" w:hanging="360"/>
      </w:pPr>
    </w:lvl>
    <w:lvl w:ilvl="8" w:tplc="3009001B" w:tentative="1">
      <w:start w:val="1"/>
      <w:numFmt w:val="lowerRoman"/>
      <w:lvlText w:val="%9."/>
      <w:lvlJc w:val="right"/>
      <w:pPr>
        <w:ind w:left="6530" w:hanging="180"/>
      </w:pPr>
    </w:lvl>
  </w:abstractNum>
  <w:abstractNum w:abstractNumId="28" w15:restartNumberingAfterBreak="0">
    <w:nsid w:val="44135073"/>
    <w:multiLevelType w:val="hybridMultilevel"/>
    <w:tmpl w:val="135AE8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6002364"/>
    <w:multiLevelType w:val="hybridMultilevel"/>
    <w:tmpl w:val="B8006D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6126FDA"/>
    <w:multiLevelType w:val="hybridMultilevel"/>
    <w:tmpl w:val="9FBA3D7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7096482"/>
    <w:multiLevelType w:val="hybridMultilevel"/>
    <w:tmpl w:val="C608B05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425136"/>
    <w:multiLevelType w:val="hybridMultilevel"/>
    <w:tmpl w:val="86922D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891354A"/>
    <w:multiLevelType w:val="multilevel"/>
    <w:tmpl w:val="13AE755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0213D7F"/>
    <w:multiLevelType w:val="hybridMultilevel"/>
    <w:tmpl w:val="04D84B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3AB0945"/>
    <w:multiLevelType w:val="hybridMultilevel"/>
    <w:tmpl w:val="4738C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183867"/>
    <w:multiLevelType w:val="hybridMultilevel"/>
    <w:tmpl w:val="EEAE33E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5655026"/>
    <w:multiLevelType w:val="hybridMultilevel"/>
    <w:tmpl w:val="0230452C"/>
    <w:lvl w:ilvl="0" w:tplc="0AC0B9EC">
      <w:start w:val="1"/>
      <w:numFmt w:val="lowerLetter"/>
      <w:lvlText w:val="%1)"/>
      <w:lvlJc w:val="left"/>
      <w:pPr>
        <w:ind w:left="720" w:hanging="360"/>
      </w:pPr>
      <w:rPr>
        <w:b/>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15:restartNumberingAfterBreak="0">
    <w:nsid w:val="561F1844"/>
    <w:multiLevelType w:val="hybridMultilevel"/>
    <w:tmpl w:val="9AE0044A"/>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9" w15:restartNumberingAfterBreak="0">
    <w:nsid w:val="59D04447"/>
    <w:multiLevelType w:val="hybridMultilevel"/>
    <w:tmpl w:val="0838A03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A4D7AC7"/>
    <w:multiLevelType w:val="hybridMultilevel"/>
    <w:tmpl w:val="2B6298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367C24"/>
    <w:multiLevelType w:val="hybridMultilevel"/>
    <w:tmpl w:val="AC8884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C545142"/>
    <w:multiLevelType w:val="hybridMultilevel"/>
    <w:tmpl w:val="00FC434C"/>
    <w:lvl w:ilvl="0" w:tplc="0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5E0119F9"/>
    <w:multiLevelType w:val="hybridMultilevel"/>
    <w:tmpl w:val="71E84342"/>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4" w15:restartNumberingAfterBreak="0">
    <w:nsid w:val="612D56E5"/>
    <w:multiLevelType w:val="hybridMultilevel"/>
    <w:tmpl w:val="A89CDD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5106667"/>
    <w:multiLevelType w:val="hybridMultilevel"/>
    <w:tmpl w:val="94E81C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8ED1964"/>
    <w:multiLevelType w:val="hybridMultilevel"/>
    <w:tmpl w:val="1F52E66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AAD398F"/>
    <w:multiLevelType w:val="hybridMultilevel"/>
    <w:tmpl w:val="D604F4A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BBC5911"/>
    <w:multiLevelType w:val="hybridMultilevel"/>
    <w:tmpl w:val="8BFCC9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D1D5271"/>
    <w:multiLevelType w:val="hybridMultilevel"/>
    <w:tmpl w:val="1910C23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E143A34"/>
    <w:multiLevelType w:val="hybridMultilevel"/>
    <w:tmpl w:val="37F882F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019319F"/>
    <w:multiLevelType w:val="hybridMultilevel"/>
    <w:tmpl w:val="A550672A"/>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2" w15:restartNumberingAfterBreak="0">
    <w:nsid w:val="709378BA"/>
    <w:multiLevelType w:val="hybridMultilevel"/>
    <w:tmpl w:val="A1BAC37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15F09D9"/>
    <w:multiLevelType w:val="hybridMultilevel"/>
    <w:tmpl w:val="1670242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6224567"/>
    <w:multiLevelType w:val="hybridMultilevel"/>
    <w:tmpl w:val="A70E3E9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62D75F5"/>
    <w:multiLevelType w:val="hybridMultilevel"/>
    <w:tmpl w:val="5096DB1C"/>
    <w:lvl w:ilvl="0" w:tplc="0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77096E66"/>
    <w:multiLevelType w:val="hybridMultilevel"/>
    <w:tmpl w:val="257694C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8262C8B"/>
    <w:multiLevelType w:val="hybridMultilevel"/>
    <w:tmpl w:val="D90AF40A"/>
    <w:lvl w:ilvl="0" w:tplc="A86EFF40">
      <w:start w:val="1"/>
      <w:numFmt w:val="lowerRoman"/>
      <w:lvlText w:val="%1."/>
      <w:lvlJc w:val="right"/>
      <w:pPr>
        <w:ind w:left="780" w:hanging="360"/>
      </w:pPr>
      <w:rPr>
        <w:b w:val="0"/>
        <w:bCs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8" w15:restartNumberingAfterBreak="0">
    <w:nsid w:val="7BB92B35"/>
    <w:multiLevelType w:val="hybridMultilevel"/>
    <w:tmpl w:val="8E4A54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EBD5A14"/>
    <w:multiLevelType w:val="hybridMultilevel"/>
    <w:tmpl w:val="1FA6AC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EF54577"/>
    <w:multiLevelType w:val="hybridMultilevel"/>
    <w:tmpl w:val="013461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F257388"/>
    <w:multiLevelType w:val="hybridMultilevel"/>
    <w:tmpl w:val="0374BA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1"/>
  </w:num>
  <w:num w:numId="2">
    <w:abstractNumId w:val="27"/>
  </w:num>
  <w:num w:numId="3">
    <w:abstractNumId w:val="1"/>
  </w:num>
  <w:num w:numId="4">
    <w:abstractNumId w:val="11"/>
  </w:num>
  <w:num w:numId="5">
    <w:abstractNumId w:val="10"/>
  </w:num>
  <w:num w:numId="6">
    <w:abstractNumId w:val="31"/>
  </w:num>
  <w:num w:numId="7">
    <w:abstractNumId w:val="21"/>
  </w:num>
  <w:num w:numId="8">
    <w:abstractNumId w:val="38"/>
  </w:num>
  <w:num w:numId="9">
    <w:abstractNumId w:val="37"/>
  </w:num>
  <w:num w:numId="10">
    <w:abstractNumId w:val="43"/>
  </w:num>
  <w:num w:numId="11">
    <w:abstractNumId w:val="60"/>
  </w:num>
  <w:num w:numId="12">
    <w:abstractNumId w:val="59"/>
  </w:num>
  <w:num w:numId="13">
    <w:abstractNumId w:val="46"/>
  </w:num>
  <w:num w:numId="14">
    <w:abstractNumId w:val="14"/>
  </w:num>
  <w:num w:numId="15">
    <w:abstractNumId w:val="42"/>
  </w:num>
  <w:num w:numId="16">
    <w:abstractNumId w:val="40"/>
  </w:num>
  <w:num w:numId="17">
    <w:abstractNumId w:val="55"/>
  </w:num>
  <w:num w:numId="18">
    <w:abstractNumId w:val="23"/>
  </w:num>
  <w:num w:numId="19">
    <w:abstractNumId w:val="39"/>
  </w:num>
  <w:num w:numId="20">
    <w:abstractNumId w:val="0"/>
  </w:num>
  <w:num w:numId="21">
    <w:abstractNumId w:val="16"/>
  </w:num>
  <w:num w:numId="22">
    <w:abstractNumId w:val="22"/>
  </w:num>
  <w:num w:numId="23">
    <w:abstractNumId w:val="48"/>
  </w:num>
  <w:num w:numId="24">
    <w:abstractNumId w:val="57"/>
  </w:num>
  <w:num w:numId="25">
    <w:abstractNumId w:val="33"/>
  </w:num>
  <w:num w:numId="26">
    <w:abstractNumId w:val="35"/>
  </w:num>
  <w:num w:numId="27">
    <w:abstractNumId w:val="44"/>
  </w:num>
  <w:num w:numId="28">
    <w:abstractNumId w:val="9"/>
  </w:num>
  <w:num w:numId="29">
    <w:abstractNumId w:val="54"/>
  </w:num>
  <w:num w:numId="30">
    <w:abstractNumId w:val="50"/>
  </w:num>
  <w:num w:numId="31">
    <w:abstractNumId w:val="56"/>
  </w:num>
  <w:num w:numId="32">
    <w:abstractNumId w:val="13"/>
  </w:num>
  <w:num w:numId="33">
    <w:abstractNumId w:val="18"/>
  </w:num>
  <w:num w:numId="34">
    <w:abstractNumId w:val="41"/>
  </w:num>
  <w:num w:numId="35">
    <w:abstractNumId w:val="28"/>
  </w:num>
  <w:num w:numId="36">
    <w:abstractNumId w:val="53"/>
  </w:num>
  <w:num w:numId="37">
    <w:abstractNumId w:val="49"/>
  </w:num>
  <w:num w:numId="38">
    <w:abstractNumId w:val="32"/>
  </w:num>
  <w:num w:numId="39">
    <w:abstractNumId w:val="8"/>
  </w:num>
  <w:num w:numId="40">
    <w:abstractNumId w:val="47"/>
  </w:num>
  <w:num w:numId="41">
    <w:abstractNumId w:val="26"/>
  </w:num>
  <w:num w:numId="42">
    <w:abstractNumId w:val="25"/>
  </w:num>
  <w:num w:numId="43">
    <w:abstractNumId w:val="17"/>
  </w:num>
  <w:num w:numId="44">
    <w:abstractNumId w:val="24"/>
  </w:num>
  <w:num w:numId="45">
    <w:abstractNumId w:val="45"/>
  </w:num>
  <w:num w:numId="46">
    <w:abstractNumId w:val="5"/>
  </w:num>
  <w:num w:numId="47">
    <w:abstractNumId w:val="15"/>
  </w:num>
  <w:num w:numId="48">
    <w:abstractNumId w:val="20"/>
  </w:num>
  <w:num w:numId="49">
    <w:abstractNumId w:val="3"/>
  </w:num>
  <w:num w:numId="50">
    <w:abstractNumId w:val="61"/>
  </w:num>
  <w:num w:numId="51">
    <w:abstractNumId w:val="6"/>
  </w:num>
  <w:num w:numId="52">
    <w:abstractNumId w:val="52"/>
  </w:num>
  <w:num w:numId="53">
    <w:abstractNumId w:val="7"/>
  </w:num>
  <w:num w:numId="54">
    <w:abstractNumId w:val="58"/>
  </w:num>
  <w:num w:numId="55">
    <w:abstractNumId w:val="30"/>
  </w:num>
  <w:num w:numId="56">
    <w:abstractNumId w:val="2"/>
  </w:num>
  <w:num w:numId="57">
    <w:abstractNumId w:val="34"/>
  </w:num>
  <w:num w:numId="58">
    <w:abstractNumId w:val="12"/>
  </w:num>
  <w:num w:numId="59">
    <w:abstractNumId w:val="19"/>
  </w:num>
  <w:num w:numId="60">
    <w:abstractNumId w:val="29"/>
  </w:num>
  <w:num w:numId="61">
    <w:abstractNumId w:val="36"/>
  </w:num>
  <w:num w:numId="62">
    <w:abstractNumId w:val="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540"/>
    <w:rsid w:val="00003D92"/>
    <w:rsid w:val="0000678F"/>
    <w:rsid w:val="00007E23"/>
    <w:rsid w:val="0001241F"/>
    <w:rsid w:val="00014FF3"/>
    <w:rsid w:val="00044B1B"/>
    <w:rsid w:val="00055D8B"/>
    <w:rsid w:val="00061ED8"/>
    <w:rsid w:val="000657B6"/>
    <w:rsid w:val="00083806"/>
    <w:rsid w:val="000A424D"/>
    <w:rsid w:val="000A5125"/>
    <w:rsid w:val="000E360F"/>
    <w:rsid w:val="000F563E"/>
    <w:rsid w:val="00112F64"/>
    <w:rsid w:val="00144EE2"/>
    <w:rsid w:val="00145166"/>
    <w:rsid w:val="0017757E"/>
    <w:rsid w:val="00197F1F"/>
    <w:rsid w:val="001B1792"/>
    <w:rsid w:val="001C5001"/>
    <w:rsid w:val="001D11F6"/>
    <w:rsid w:val="001D20FA"/>
    <w:rsid w:val="001E14BF"/>
    <w:rsid w:val="001F69FF"/>
    <w:rsid w:val="001F7631"/>
    <w:rsid w:val="002023F8"/>
    <w:rsid w:val="00206789"/>
    <w:rsid w:val="00211B73"/>
    <w:rsid w:val="00215CD9"/>
    <w:rsid w:val="00226B80"/>
    <w:rsid w:val="00231445"/>
    <w:rsid w:val="00240CC8"/>
    <w:rsid w:val="00250BE7"/>
    <w:rsid w:val="00257442"/>
    <w:rsid w:val="00262F34"/>
    <w:rsid w:val="00265580"/>
    <w:rsid w:val="0027269A"/>
    <w:rsid w:val="002A340C"/>
    <w:rsid w:val="002B358B"/>
    <w:rsid w:val="002B3F7E"/>
    <w:rsid w:val="002D2EE9"/>
    <w:rsid w:val="002D47D9"/>
    <w:rsid w:val="002D79D8"/>
    <w:rsid w:val="002E787F"/>
    <w:rsid w:val="002F154B"/>
    <w:rsid w:val="00311208"/>
    <w:rsid w:val="00337EBD"/>
    <w:rsid w:val="00345373"/>
    <w:rsid w:val="00360AD2"/>
    <w:rsid w:val="003801FB"/>
    <w:rsid w:val="0038784E"/>
    <w:rsid w:val="00394501"/>
    <w:rsid w:val="004008DF"/>
    <w:rsid w:val="00414659"/>
    <w:rsid w:val="00415508"/>
    <w:rsid w:val="00427914"/>
    <w:rsid w:val="00433FB7"/>
    <w:rsid w:val="004625A5"/>
    <w:rsid w:val="00463BB8"/>
    <w:rsid w:val="00472A3A"/>
    <w:rsid w:val="0047623E"/>
    <w:rsid w:val="004A3B5B"/>
    <w:rsid w:val="004C183F"/>
    <w:rsid w:val="004C7FF8"/>
    <w:rsid w:val="004F2AD9"/>
    <w:rsid w:val="0053581E"/>
    <w:rsid w:val="00541383"/>
    <w:rsid w:val="00542FA1"/>
    <w:rsid w:val="0056167D"/>
    <w:rsid w:val="005630DE"/>
    <w:rsid w:val="00572E44"/>
    <w:rsid w:val="005868F2"/>
    <w:rsid w:val="005A4EB2"/>
    <w:rsid w:val="005C1C7A"/>
    <w:rsid w:val="005C58AE"/>
    <w:rsid w:val="005E7197"/>
    <w:rsid w:val="005F746F"/>
    <w:rsid w:val="006120A9"/>
    <w:rsid w:val="006364E2"/>
    <w:rsid w:val="00646FCE"/>
    <w:rsid w:val="006475BD"/>
    <w:rsid w:val="00651D08"/>
    <w:rsid w:val="00685986"/>
    <w:rsid w:val="00686944"/>
    <w:rsid w:val="006948AA"/>
    <w:rsid w:val="006963FC"/>
    <w:rsid w:val="006B0DA5"/>
    <w:rsid w:val="006B294F"/>
    <w:rsid w:val="006B628C"/>
    <w:rsid w:val="006C04F4"/>
    <w:rsid w:val="006C3EB9"/>
    <w:rsid w:val="006E1C71"/>
    <w:rsid w:val="006E5540"/>
    <w:rsid w:val="006E68CD"/>
    <w:rsid w:val="006F659E"/>
    <w:rsid w:val="00713F49"/>
    <w:rsid w:val="00722620"/>
    <w:rsid w:val="0075115E"/>
    <w:rsid w:val="00752FCB"/>
    <w:rsid w:val="007543E4"/>
    <w:rsid w:val="00754C93"/>
    <w:rsid w:val="00754CEE"/>
    <w:rsid w:val="007609B1"/>
    <w:rsid w:val="007704C7"/>
    <w:rsid w:val="00777CA7"/>
    <w:rsid w:val="00782F26"/>
    <w:rsid w:val="00796495"/>
    <w:rsid w:val="007B7DDF"/>
    <w:rsid w:val="007C7F70"/>
    <w:rsid w:val="007E3E5A"/>
    <w:rsid w:val="00803F26"/>
    <w:rsid w:val="00804937"/>
    <w:rsid w:val="00805375"/>
    <w:rsid w:val="00821FCC"/>
    <w:rsid w:val="008567CE"/>
    <w:rsid w:val="00872658"/>
    <w:rsid w:val="0088006D"/>
    <w:rsid w:val="00887605"/>
    <w:rsid w:val="008C4F02"/>
    <w:rsid w:val="008C788D"/>
    <w:rsid w:val="008E325B"/>
    <w:rsid w:val="0090330D"/>
    <w:rsid w:val="00932270"/>
    <w:rsid w:val="009405CC"/>
    <w:rsid w:val="00951A6D"/>
    <w:rsid w:val="00960319"/>
    <w:rsid w:val="009603DA"/>
    <w:rsid w:val="0096441E"/>
    <w:rsid w:val="0096617D"/>
    <w:rsid w:val="00967E8E"/>
    <w:rsid w:val="00993346"/>
    <w:rsid w:val="009963EC"/>
    <w:rsid w:val="009B3B81"/>
    <w:rsid w:val="009C222E"/>
    <w:rsid w:val="00A5149F"/>
    <w:rsid w:val="00A96352"/>
    <w:rsid w:val="00AC6F31"/>
    <w:rsid w:val="00AC77EF"/>
    <w:rsid w:val="00AF0C01"/>
    <w:rsid w:val="00AF597D"/>
    <w:rsid w:val="00B02FA9"/>
    <w:rsid w:val="00B118CD"/>
    <w:rsid w:val="00B32C58"/>
    <w:rsid w:val="00B363FF"/>
    <w:rsid w:val="00B45E23"/>
    <w:rsid w:val="00B560D5"/>
    <w:rsid w:val="00B7260D"/>
    <w:rsid w:val="00B77685"/>
    <w:rsid w:val="00B80062"/>
    <w:rsid w:val="00B9262D"/>
    <w:rsid w:val="00B931DB"/>
    <w:rsid w:val="00BE2000"/>
    <w:rsid w:val="00BE4D7E"/>
    <w:rsid w:val="00BE689C"/>
    <w:rsid w:val="00C32311"/>
    <w:rsid w:val="00C42DDC"/>
    <w:rsid w:val="00C64C1B"/>
    <w:rsid w:val="00C745DA"/>
    <w:rsid w:val="00C9619B"/>
    <w:rsid w:val="00C96E01"/>
    <w:rsid w:val="00CA7F35"/>
    <w:rsid w:val="00CB3859"/>
    <w:rsid w:val="00CB4BBD"/>
    <w:rsid w:val="00CC7622"/>
    <w:rsid w:val="00CF2859"/>
    <w:rsid w:val="00CF4783"/>
    <w:rsid w:val="00D157A6"/>
    <w:rsid w:val="00D238D8"/>
    <w:rsid w:val="00D447D6"/>
    <w:rsid w:val="00D44C06"/>
    <w:rsid w:val="00D67FBF"/>
    <w:rsid w:val="00D71759"/>
    <w:rsid w:val="00D81F23"/>
    <w:rsid w:val="00DA5771"/>
    <w:rsid w:val="00DA7B14"/>
    <w:rsid w:val="00DF6172"/>
    <w:rsid w:val="00E241D0"/>
    <w:rsid w:val="00E30863"/>
    <w:rsid w:val="00E35B2B"/>
    <w:rsid w:val="00E53926"/>
    <w:rsid w:val="00E5532F"/>
    <w:rsid w:val="00E61F4D"/>
    <w:rsid w:val="00E6586C"/>
    <w:rsid w:val="00E87E10"/>
    <w:rsid w:val="00E90137"/>
    <w:rsid w:val="00EC13F6"/>
    <w:rsid w:val="00ED0CCF"/>
    <w:rsid w:val="00EE2F43"/>
    <w:rsid w:val="00EF1F0D"/>
    <w:rsid w:val="00F27BDD"/>
    <w:rsid w:val="00F45438"/>
    <w:rsid w:val="00F5553A"/>
    <w:rsid w:val="00F5562E"/>
    <w:rsid w:val="00F65C12"/>
    <w:rsid w:val="00F8097D"/>
    <w:rsid w:val="00FA1C73"/>
    <w:rsid w:val="00FB130A"/>
    <w:rsid w:val="00FB3233"/>
    <w:rsid w:val="00FC393F"/>
    <w:rsid w:val="00FD2CDF"/>
    <w:rsid w:val="00FE0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8BD3A"/>
  <w15:chartTrackingRefBased/>
  <w15:docId w15:val="{4076F15C-E2FC-42E0-AD54-3BC255F0E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9FF"/>
    <w:pPr>
      <w:spacing w:after="0" w:line="240" w:lineRule="auto"/>
    </w:pPr>
    <w:rPr>
      <w:rFonts w:ascii="Times New Roman" w:eastAsia="Times New Roman" w:hAnsi="Times New Roman" w:cs="Times New Roman"/>
      <w:kern w:val="0"/>
      <w:lang w:val="en-ZW" w:eastAsia="en-ZW"/>
      <w14:ligatures w14:val="none"/>
    </w:rPr>
  </w:style>
  <w:style w:type="paragraph" w:styleId="Heading1">
    <w:name w:val="heading 1"/>
    <w:basedOn w:val="Normal"/>
    <w:next w:val="Normal"/>
    <w:link w:val="Heading1Char"/>
    <w:autoRedefine/>
    <w:uiPriority w:val="9"/>
    <w:qFormat/>
    <w:rsid w:val="006C3EB9"/>
    <w:pPr>
      <w:keepNext/>
      <w:keepLines/>
      <w:spacing w:before="360" w:line="278" w:lineRule="auto"/>
      <w:jc w:val="center"/>
      <w:outlineLvl w:val="0"/>
    </w:pPr>
    <w:rPr>
      <w:rFonts w:cstheme="majorBidi"/>
      <w:b/>
      <w:color w:val="000000" w:themeColor="text1"/>
      <w:kern w:val="2"/>
      <w:sz w:val="32"/>
      <w:szCs w:val="40"/>
      <w:lang w:eastAsia="en-US"/>
      <w14:ligatures w14:val="standardContextual"/>
    </w:rPr>
  </w:style>
  <w:style w:type="paragraph" w:styleId="Heading2">
    <w:name w:val="heading 2"/>
    <w:basedOn w:val="Normal"/>
    <w:next w:val="Normal"/>
    <w:link w:val="Heading2Char"/>
    <w:autoRedefine/>
    <w:uiPriority w:val="9"/>
    <w:unhideWhenUsed/>
    <w:qFormat/>
    <w:rsid w:val="00394501"/>
    <w:pPr>
      <w:keepNext/>
      <w:keepLines/>
      <w:spacing w:line="278" w:lineRule="auto"/>
      <w:jc w:val="both"/>
      <w:outlineLvl w:val="1"/>
    </w:pPr>
    <w:rPr>
      <w:rFonts w:cstheme="majorBidi"/>
      <w:b/>
      <w:color w:val="000000" w:themeColor="text1"/>
      <w:kern w:val="2"/>
      <w:sz w:val="28"/>
      <w:szCs w:val="32"/>
      <w:lang w:val="en-GB" w:eastAsia="en-US"/>
      <w14:ligatures w14:val="standardContextual"/>
    </w:rPr>
  </w:style>
  <w:style w:type="paragraph" w:styleId="Heading3">
    <w:name w:val="heading 3"/>
    <w:basedOn w:val="Normal"/>
    <w:next w:val="Normal"/>
    <w:link w:val="Heading3Char"/>
    <w:uiPriority w:val="9"/>
    <w:unhideWhenUsed/>
    <w:qFormat/>
    <w:rsid w:val="006B628C"/>
    <w:pPr>
      <w:keepNext/>
      <w:keepLines/>
      <w:spacing w:before="160" w:after="80" w:line="278" w:lineRule="auto"/>
      <w:outlineLvl w:val="2"/>
    </w:pPr>
    <w:rPr>
      <w:rFonts w:eastAsiaTheme="majorEastAsia" w:cstheme="majorBidi"/>
      <w:b/>
      <w:color w:val="000000" w:themeColor="text1"/>
      <w:kern w:val="2"/>
      <w:szCs w:val="28"/>
      <w:lang w:val="en-US" w:eastAsia="en-US"/>
      <w14:ligatures w14:val="standardContextual"/>
    </w:rPr>
  </w:style>
  <w:style w:type="paragraph" w:styleId="Heading4">
    <w:name w:val="heading 4"/>
    <w:basedOn w:val="Normal"/>
    <w:next w:val="Normal"/>
    <w:link w:val="Heading4Char"/>
    <w:autoRedefine/>
    <w:uiPriority w:val="9"/>
    <w:unhideWhenUsed/>
    <w:qFormat/>
    <w:rsid w:val="00AC77EF"/>
    <w:pPr>
      <w:keepNext/>
      <w:keepLines/>
      <w:spacing w:before="80" w:after="40" w:line="278" w:lineRule="auto"/>
      <w:outlineLvl w:val="3"/>
    </w:pPr>
    <w:rPr>
      <w:rFonts w:asciiTheme="minorHAnsi" w:eastAsiaTheme="majorEastAsia" w:hAnsiTheme="minorHAnsi" w:cstheme="majorBidi"/>
      <w:i/>
      <w:iCs/>
      <w:color w:val="000000" w:themeColor="text1"/>
      <w:kern w:val="2"/>
      <w:lang w:val="en-US" w:eastAsia="en-US"/>
      <w14:ligatures w14:val="standardContextual"/>
    </w:rPr>
  </w:style>
  <w:style w:type="paragraph" w:styleId="Heading5">
    <w:name w:val="heading 5"/>
    <w:basedOn w:val="Normal"/>
    <w:next w:val="Normal"/>
    <w:link w:val="Heading5Char"/>
    <w:uiPriority w:val="9"/>
    <w:semiHidden/>
    <w:unhideWhenUsed/>
    <w:qFormat/>
    <w:rsid w:val="006E5540"/>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6E5540"/>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6E5540"/>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6E5540"/>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6E5540"/>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EB9"/>
    <w:rPr>
      <w:rFonts w:ascii="Times New Roman" w:eastAsia="Times New Roman" w:hAnsi="Times New Roman" w:cstheme="majorBidi"/>
      <w:b/>
      <w:color w:val="000000" w:themeColor="text1"/>
      <w:sz w:val="32"/>
      <w:szCs w:val="40"/>
      <w:lang w:val="en-ZW"/>
    </w:rPr>
  </w:style>
  <w:style w:type="character" w:customStyle="1" w:styleId="Heading2Char">
    <w:name w:val="Heading 2 Char"/>
    <w:basedOn w:val="DefaultParagraphFont"/>
    <w:link w:val="Heading2"/>
    <w:uiPriority w:val="9"/>
    <w:rsid w:val="00394501"/>
    <w:rPr>
      <w:rFonts w:ascii="Times New Roman" w:eastAsia="Times New Roman" w:hAnsi="Times New Roman" w:cstheme="majorBidi"/>
      <w:b/>
      <w:color w:val="000000" w:themeColor="text1"/>
      <w:sz w:val="28"/>
      <w:szCs w:val="32"/>
      <w:lang w:val="en-GB"/>
    </w:rPr>
  </w:style>
  <w:style w:type="character" w:customStyle="1" w:styleId="Heading3Char">
    <w:name w:val="Heading 3 Char"/>
    <w:basedOn w:val="DefaultParagraphFont"/>
    <w:link w:val="Heading3"/>
    <w:uiPriority w:val="9"/>
    <w:rsid w:val="006B628C"/>
    <w:rPr>
      <w:rFonts w:ascii="Times New Roman" w:eastAsiaTheme="majorEastAsia" w:hAnsi="Times New Roman" w:cstheme="majorBidi"/>
      <w:b/>
      <w:color w:val="000000" w:themeColor="text1"/>
      <w:szCs w:val="28"/>
    </w:rPr>
  </w:style>
  <w:style w:type="character" w:customStyle="1" w:styleId="Heading4Char">
    <w:name w:val="Heading 4 Char"/>
    <w:basedOn w:val="DefaultParagraphFont"/>
    <w:link w:val="Heading4"/>
    <w:uiPriority w:val="9"/>
    <w:rsid w:val="00AC77EF"/>
    <w:rPr>
      <w:rFonts w:eastAsiaTheme="majorEastAsia" w:cstheme="majorBidi"/>
      <w:i/>
      <w:iCs/>
      <w:color w:val="000000" w:themeColor="text1"/>
    </w:rPr>
  </w:style>
  <w:style w:type="character" w:customStyle="1" w:styleId="Heading5Char">
    <w:name w:val="Heading 5 Char"/>
    <w:basedOn w:val="DefaultParagraphFont"/>
    <w:link w:val="Heading5"/>
    <w:uiPriority w:val="9"/>
    <w:semiHidden/>
    <w:rsid w:val="006E55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5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540"/>
    <w:rPr>
      <w:rFonts w:eastAsiaTheme="majorEastAsia" w:cstheme="majorBidi"/>
      <w:color w:val="272727" w:themeColor="text1" w:themeTint="D8"/>
    </w:rPr>
  </w:style>
  <w:style w:type="paragraph" w:styleId="Title">
    <w:name w:val="Title"/>
    <w:basedOn w:val="Normal"/>
    <w:next w:val="Normal"/>
    <w:link w:val="TitleChar"/>
    <w:uiPriority w:val="10"/>
    <w:qFormat/>
    <w:rsid w:val="006E554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E5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E5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540"/>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6E5540"/>
    <w:rPr>
      <w:i/>
      <w:iCs/>
      <w:color w:val="404040" w:themeColor="text1" w:themeTint="BF"/>
    </w:rPr>
  </w:style>
  <w:style w:type="paragraph" w:styleId="ListParagraph">
    <w:name w:val="List Paragraph"/>
    <w:basedOn w:val="Normal"/>
    <w:uiPriority w:val="34"/>
    <w:qFormat/>
    <w:rsid w:val="006E5540"/>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6E5540"/>
    <w:rPr>
      <w:i/>
      <w:iCs/>
      <w:color w:val="2F5496" w:themeColor="accent1" w:themeShade="BF"/>
    </w:rPr>
  </w:style>
  <w:style w:type="paragraph" w:styleId="IntenseQuote">
    <w:name w:val="Intense Quote"/>
    <w:basedOn w:val="Normal"/>
    <w:next w:val="Normal"/>
    <w:link w:val="IntenseQuoteChar"/>
    <w:uiPriority w:val="30"/>
    <w:qFormat/>
    <w:rsid w:val="006E554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6E5540"/>
    <w:rPr>
      <w:i/>
      <w:iCs/>
      <w:color w:val="2F5496" w:themeColor="accent1" w:themeShade="BF"/>
    </w:rPr>
  </w:style>
  <w:style w:type="character" w:styleId="IntenseReference">
    <w:name w:val="Intense Reference"/>
    <w:basedOn w:val="DefaultParagraphFont"/>
    <w:uiPriority w:val="32"/>
    <w:qFormat/>
    <w:rsid w:val="006E5540"/>
    <w:rPr>
      <w:b/>
      <w:bCs/>
      <w:smallCaps/>
      <w:color w:val="2F5496" w:themeColor="accent1" w:themeShade="BF"/>
      <w:spacing w:val="5"/>
    </w:rPr>
  </w:style>
  <w:style w:type="character" w:styleId="Hyperlink">
    <w:name w:val="Hyperlink"/>
    <w:basedOn w:val="DefaultParagraphFont"/>
    <w:uiPriority w:val="99"/>
    <w:unhideWhenUsed/>
    <w:rsid w:val="006B294F"/>
    <w:rPr>
      <w:color w:val="0563C1" w:themeColor="hyperlink"/>
      <w:u w:val="single"/>
    </w:rPr>
  </w:style>
  <w:style w:type="character" w:styleId="CommentReference">
    <w:name w:val="annotation reference"/>
    <w:basedOn w:val="DefaultParagraphFont"/>
    <w:uiPriority w:val="99"/>
    <w:semiHidden/>
    <w:unhideWhenUsed/>
    <w:rsid w:val="006948AA"/>
    <w:rPr>
      <w:sz w:val="16"/>
      <w:szCs w:val="16"/>
    </w:rPr>
  </w:style>
  <w:style w:type="paragraph" w:styleId="CommentText">
    <w:name w:val="annotation text"/>
    <w:basedOn w:val="Normal"/>
    <w:link w:val="CommentTextChar"/>
    <w:uiPriority w:val="99"/>
    <w:semiHidden/>
    <w:unhideWhenUsed/>
    <w:rsid w:val="006948AA"/>
    <w:pPr>
      <w:spacing w:after="160"/>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basedOn w:val="DefaultParagraphFont"/>
    <w:link w:val="CommentText"/>
    <w:uiPriority w:val="99"/>
    <w:semiHidden/>
    <w:rsid w:val="006948AA"/>
    <w:rPr>
      <w:sz w:val="20"/>
      <w:szCs w:val="20"/>
    </w:rPr>
  </w:style>
  <w:style w:type="paragraph" w:styleId="CommentSubject">
    <w:name w:val="annotation subject"/>
    <w:basedOn w:val="CommentText"/>
    <w:next w:val="CommentText"/>
    <w:link w:val="CommentSubjectChar"/>
    <w:uiPriority w:val="99"/>
    <w:semiHidden/>
    <w:unhideWhenUsed/>
    <w:rsid w:val="006948AA"/>
    <w:rPr>
      <w:b/>
      <w:bCs/>
    </w:rPr>
  </w:style>
  <w:style w:type="character" w:customStyle="1" w:styleId="CommentSubjectChar">
    <w:name w:val="Comment Subject Char"/>
    <w:basedOn w:val="CommentTextChar"/>
    <w:link w:val="CommentSubject"/>
    <w:uiPriority w:val="99"/>
    <w:semiHidden/>
    <w:rsid w:val="006948AA"/>
    <w:rPr>
      <w:b/>
      <w:bCs/>
      <w:sz w:val="20"/>
      <w:szCs w:val="20"/>
    </w:rPr>
  </w:style>
  <w:style w:type="paragraph" w:styleId="BalloonText">
    <w:name w:val="Balloon Text"/>
    <w:basedOn w:val="Normal"/>
    <w:link w:val="BalloonTextChar"/>
    <w:uiPriority w:val="99"/>
    <w:semiHidden/>
    <w:unhideWhenUsed/>
    <w:rsid w:val="006948AA"/>
    <w:rPr>
      <w:rFonts w:ascii="Segoe UI" w:eastAsiaTheme="minorHAnsi" w:hAnsi="Segoe UI" w:cs="Segoe UI"/>
      <w:kern w:val="2"/>
      <w:sz w:val="18"/>
      <w:szCs w:val="18"/>
      <w:lang w:val="en-US" w:eastAsia="en-US"/>
      <w14:ligatures w14:val="standardContextual"/>
    </w:rPr>
  </w:style>
  <w:style w:type="character" w:customStyle="1" w:styleId="BalloonTextChar">
    <w:name w:val="Balloon Text Char"/>
    <w:basedOn w:val="DefaultParagraphFont"/>
    <w:link w:val="BalloonText"/>
    <w:uiPriority w:val="99"/>
    <w:semiHidden/>
    <w:rsid w:val="006948AA"/>
    <w:rPr>
      <w:rFonts w:ascii="Segoe UI" w:hAnsi="Segoe UI" w:cs="Segoe UI"/>
      <w:sz w:val="18"/>
      <w:szCs w:val="18"/>
    </w:rPr>
  </w:style>
  <w:style w:type="paragraph" w:styleId="Revision">
    <w:name w:val="Revision"/>
    <w:hidden/>
    <w:uiPriority w:val="99"/>
    <w:semiHidden/>
    <w:rsid w:val="00345373"/>
    <w:pPr>
      <w:spacing w:after="0" w:line="240" w:lineRule="auto"/>
    </w:pPr>
  </w:style>
  <w:style w:type="table" w:styleId="TableGrid">
    <w:name w:val="Table Grid"/>
    <w:basedOn w:val="TableNormal"/>
    <w:uiPriority w:val="39"/>
    <w:rsid w:val="00112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2F64"/>
    <w:pPr>
      <w:tabs>
        <w:tab w:val="center" w:pos="4513"/>
        <w:tab w:val="right" w:pos="9026"/>
      </w:tabs>
    </w:pPr>
    <w:rPr>
      <w:rFonts w:asciiTheme="minorHAnsi" w:eastAsiaTheme="minorHAnsi" w:hAnsiTheme="minorHAnsi" w:cstheme="minorBidi"/>
      <w:kern w:val="2"/>
      <w:lang w:val="en-US" w:eastAsia="en-US"/>
      <w14:ligatures w14:val="standardContextual"/>
    </w:rPr>
  </w:style>
  <w:style w:type="character" w:customStyle="1" w:styleId="HeaderChar">
    <w:name w:val="Header Char"/>
    <w:basedOn w:val="DefaultParagraphFont"/>
    <w:link w:val="Header"/>
    <w:uiPriority w:val="99"/>
    <w:rsid w:val="00112F64"/>
  </w:style>
  <w:style w:type="paragraph" w:styleId="Footer">
    <w:name w:val="footer"/>
    <w:basedOn w:val="Normal"/>
    <w:link w:val="FooterChar"/>
    <w:uiPriority w:val="99"/>
    <w:unhideWhenUsed/>
    <w:rsid w:val="00112F64"/>
    <w:pPr>
      <w:tabs>
        <w:tab w:val="center" w:pos="4513"/>
        <w:tab w:val="right" w:pos="9026"/>
      </w:tabs>
    </w:pPr>
    <w:rPr>
      <w:rFonts w:asciiTheme="minorHAnsi" w:eastAsiaTheme="minorHAnsi" w:hAnsiTheme="minorHAnsi" w:cstheme="minorBidi"/>
      <w:kern w:val="2"/>
      <w:lang w:val="en-US" w:eastAsia="en-US"/>
      <w14:ligatures w14:val="standardContextual"/>
    </w:rPr>
  </w:style>
  <w:style w:type="character" w:customStyle="1" w:styleId="FooterChar">
    <w:name w:val="Footer Char"/>
    <w:basedOn w:val="DefaultParagraphFont"/>
    <w:link w:val="Footer"/>
    <w:uiPriority w:val="99"/>
    <w:rsid w:val="00112F64"/>
  </w:style>
  <w:style w:type="numbering" w:customStyle="1" w:styleId="NoList1">
    <w:name w:val="No List1"/>
    <w:next w:val="NoList"/>
    <w:uiPriority w:val="99"/>
    <w:semiHidden/>
    <w:unhideWhenUsed/>
    <w:rsid w:val="00112F64"/>
  </w:style>
  <w:style w:type="paragraph" w:styleId="NormalWeb">
    <w:name w:val="Normal (Web)"/>
    <w:basedOn w:val="Normal"/>
    <w:uiPriority w:val="99"/>
    <w:unhideWhenUsed/>
    <w:rsid w:val="008C4F02"/>
    <w:pPr>
      <w:spacing w:before="100" w:beforeAutospacing="1" w:after="100" w:afterAutospacing="1"/>
    </w:pPr>
    <w:rPr>
      <w:lang w:val="en-GB" w:eastAsia="en-GB"/>
    </w:rPr>
  </w:style>
  <w:style w:type="character" w:styleId="Strong">
    <w:name w:val="Strong"/>
    <w:basedOn w:val="DefaultParagraphFont"/>
    <w:uiPriority w:val="22"/>
    <w:qFormat/>
    <w:rsid w:val="008C4F02"/>
    <w:rPr>
      <w:b/>
      <w:bCs/>
    </w:rPr>
  </w:style>
  <w:style w:type="paragraph" w:customStyle="1" w:styleId="TOCHeading1">
    <w:name w:val="TOC Heading1"/>
    <w:basedOn w:val="Heading1"/>
    <w:next w:val="Normal"/>
    <w:uiPriority w:val="39"/>
    <w:qFormat/>
    <w:rsid w:val="002D47D9"/>
    <w:pPr>
      <w:widowControl w:val="0"/>
      <w:spacing w:before="240" w:line="259" w:lineRule="auto"/>
      <w:outlineLvl w:val="9"/>
    </w:pPr>
    <w:rPr>
      <w:rFonts w:asciiTheme="minorHAnsi" w:eastAsiaTheme="minorHAnsi" w:hAnsiTheme="minorHAnsi" w:cstheme="minorBidi"/>
      <w:color w:val="2E74B5"/>
      <w:kern w:val="0"/>
      <w:szCs w:val="32"/>
      <w14:ligatures w14:val="none"/>
    </w:rPr>
  </w:style>
  <w:style w:type="paragraph" w:styleId="TOCHeading">
    <w:name w:val="TOC Heading"/>
    <w:basedOn w:val="Heading1"/>
    <w:next w:val="Normal"/>
    <w:uiPriority w:val="39"/>
    <w:unhideWhenUsed/>
    <w:qFormat/>
    <w:rsid w:val="005C1C7A"/>
    <w:pPr>
      <w:spacing w:before="240" w:line="259" w:lineRule="auto"/>
      <w:outlineLvl w:val="9"/>
    </w:pPr>
    <w:rPr>
      <w:rFonts w:asciiTheme="majorHAnsi" w:eastAsiaTheme="majorEastAsia" w:hAnsiTheme="majorHAnsi"/>
      <w:b w:val="0"/>
      <w:color w:val="2F5496" w:themeColor="accent1" w:themeShade="BF"/>
      <w:kern w:val="0"/>
      <w:szCs w:val="32"/>
      <w:lang w:val="en-US"/>
      <w14:ligatures w14:val="none"/>
    </w:rPr>
  </w:style>
  <w:style w:type="paragraph" w:styleId="TOC1">
    <w:name w:val="toc 1"/>
    <w:basedOn w:val="Normal"/>
    <w:next w:val="Normal"/>
    <w:autoRedefine/>
    <w:uiPriority w:val="39"/>
    <w:unhideWhenUsed/>
    <w:rsid w:val="005C1C7A"/>
    <w:pPr>
      <w:spacing w:after="100" w:line="278" w:lineRule="auto"/>
    </w:pPr>
    <w:rPr>
      <w:rFonts w:asciiTheme="minorHAnsi" w:eastAsiaTheme="minorHAnsi" w:hAnsiTheme="minorHAnsi" w:cstheme="minorBidi"/>
      <w:kern w:val="2"/>
      <w:lang w:val="en-US" w:eastAsia="en-US"/>
      <w14:ligatures w14:val="standardContextual"/>
    </w:rPr>
  </w:style>
  <w:style w:type="paragraph" w:styleId="TOC2">
    <w:name w:val="toc 2"/>
    <w:basedOn w:val="Normal"/>
    <w:next w:val="Normal"/>
    <w:autoRedefine/>
    <w:uiPriority w:val="39"/>
    <w:unhideWhenUsed/>
    <w:rsid w:val="005C1C7A"/>
    <w:pPr>
      <w:spacing w:after="100" w:line="278" w:lineRule="auto"/>
      <w:ind w:left="240"/>
    </w:pPr>
    <w:rPr>
      <w:rFonts w:asciiTheme="minorHAnsi" w:eastAsiaTheme="minorHAnsi" w:hAnsiTheme="minorHAnsi" w:cstheme="minorBidi"/>
      <w:kern w:val="2"/>
      <w:lang w:val="en-US" w:eastAsia="en-US"/>
      <w14:ligatures w14:val="standardContextual"/>
    </w:rPr>
  </w:style>
  <w:style w:type="paragraph" w:styleId="TOC3">
    <w:name w:val="toc 3"/>
    <w:basedOn w:val="Normal"/>
    <w:next w:val="Normal"/>
    <w:autoRedefine/>
    <w:uiPriority w:val="39"/>
    <w:unhideWhenUsed/>
    <w:rsid w:val="005C1C7A"/>
    <w:pPr>
      <w:spacing w:after="100" w:line="278" w:lineRule="auto"/>
      <w:ind w:left="480"/>
    </w:pPr>
    <w:rPr>
      <w:rFonts w:asciiTheme="minorHAnsi" w:eastAsiaTheme="minorHAnsi" w:hAnsiTheme="minorHAnsi" w:cstheme="minorBidi"/>
      <w:kern w:val="2"/>
      <w:lang w:val="en-US" w:eastAsia="en-US"/>
      <w14:ligatures w14:val="standardContextual"/>
    </w:rPr>
  </w:style>
  <w:style w:type="paragraph" w:styleId="TOC4">
    <w:name w:val="toc 4"/>
    <w:basedOn w:val="Normal"/>
    <w:next w:val="Normal"/>
    <w:autoRedefine/>
    <w:uiPriority w:val="39"/>
    <w:unhideWhenUsed/>
    <w:rsid w:val="005C1C7A"/>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C1C7A"/>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C1C7A"/>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C1C7A"/>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C1C7A"/>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C1C7A"/>
    <w:pPr>
      <w:spacing w:after="100" w:line="259" w:lineRule="auto"/>
      <w:ind w:left="1760"/>
    </w:pPr>
    <w:rPr>
      <w:rFonts w:asciiTheme="minorHAnsi" w:eastAsiaTheme="minorEastAsia" w:hAnsiTheme="minorHAnsi" w:cstheme="minorBidi"/>
      <w:sz w:val="22"/>
      <w:szCs w:val="22"/>
      <w:lang w:val="en-GB" w:eastAsia="en-GB"/>
    </w:rPr>
  </w:style>
  <w:style w:type="paragraph" w:styleId="NoSpacing">
    <w:name w:val="No Spacing"/>
    <w:uiPriority w:val="1"/>
    <w:qFormat/>
    <w:rsid w:val="006C04F4"/>
    <w:pPr>
      <w:spacing w:after="0" w:line="240" w:lineRule="auto"/>
    </w:pPr>
  </w:style>
  <w:style w:type="character" w:styleId="Emphasis">
    <w:name w:val="Emphasis"/>
    <w:basedOn w:val="DefaultParagraphFont"/>
    <w:uiPriority w:val="20"/>
    <w:qFormat/>
    <w:rsid w:val="00D71759"/>
    <w:rPr>
      <w:i/>
      <w:iCs/>
    </w:rPr>
  </w:style>
  <w:style w:type="character" w:customStyle="1" w:styleId="UnresolvedMention">
    <w:name w:val="Unresolved Mention"/>
    <w:basedOn w:val="DefaultParagraphFont"/>
    <w:uiPriority w:val="99"/>
    <w:semiHidden/>
    <w:unhideWhenUsed/>
    <w:rsid w:val="0033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675338">
      <w:bodyDiv w:val="1"/>
      <w:marLeft w:val="0"/>
      <w:marRight w:val="0"/>
      <w:marTop w:val="0"/>
      <w:marBottom w:val="0"/>
      <w:divBdr>
        <w:top w:val="none" w:sz="0" w:space="0" w:color="auto"/>
        <w:left w:val="none" w:sz="0" w:space="0" w:color="auto"/>
        <w:bottom w:val="none" w:sz="0" w:space="0" w:color="auto"/>
        <w:right w:val="none" w:sz="0" w:space="0" w:color="auto"/>
      </w:divBdr>
    </w:div>
    <w:div w:id="146920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8.png"/><Relationship Id="rId26" Type="http://schemas.openxmlformats.org/officeDocument/2006/relationships/hyperlink" Target="https://www.law.co.zw/download/regional-town-and-country-planning-act-chapter-2912/" TargetMode="External"/><Relationship Id="rId39" Type="http://schemas.openxmlformats.org/officeDocument/2006/relationships/hyperlink" Target="https://www.heraldonline.co.zw/glen-view-complex-gutted-by-fire-again/" TargetMode="External"/><Relationship Id="rId21" Type="http://schemas.openxmlformats.org/officeDocument/2006/relationships/chart" Target="charts/chart2.xml"/><Relationship Id="rId34" Type="http://schemas.openxmlformats.org/officeDocument/2006/relationships/hyperlink" Target="http://www.nfpa.org/codes-and-standards/nfpa-13-standard-development/13" TargetMode="External"/><Relationship Id="rId42" Type="http://schemas.openxmlformats.org/officeDocument/2006/relationships/image" Target="media/image1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iso.org/standard/6378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ifrc.org/media/43564" TargetMode="External"/><Relationship Id="rId32" Type="http://schemas.openxmlformats.org/officeDocument/2006/relationships/hyperlink" Target="https://www.newsday.co.zw/business/article/200020764/paramount-garments-loses-millions-to-three-day-fire" TargetMode="External"/><Relationship Id="rId37" Type="http://schemas.openxmlformats.org/officeDocument/2006/relationships/hyperlink" Target="https://doi.org/10.18356/b9e995fe-en" TargetMode="External"/><Relationship Id="rId40" Type="http://schemas.openxmlformats.org/officeDocument/2006/relationships/hyperlink" Target="https://www.heraldonline.co.zw/council-intensifies-fire-compliance-inspection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ifc.org/content/dam/ifc/doc/mgrt/ifc-performance-standards.pdf" TargetMode="External"/><Relationship Id="rId28" Type="http://schemas.openxmlformats.org/officeDocument/2006/relationships/hyperlink" Target="https://www.ipcc.ch/report/ar6/wg1/" TargetMode="External"/><Relationship Id="rId36" Type="http://schemas.openxmlformats.org/officeDocument/2006/relationships/hyperlink" Target="https://www.newsday.co.zw/thestandard/2016/11/13/horror-pomona-dumpsite-burns"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www.african-cities.org" TargetMode="External"/><Relationship Id="rId44"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s://www.heraldonline.co.zw/importance-of-building-by-laws-legal-documents/" TargetMode="External"/><Relationship Id="rId27" Type="http://schemas.openxmlformats.org/officeDocument/2006/relationships/hyperlink" Target="https://www.iso.org/standard/65694.html" TargetMode="External"/><Relationship Id="rId30" Type="http://schemas.openxmlformats.org/officeDocument/2006/relationships/hyperlink" Target="https://www.iso.org/standard/67851.html" TargetMode="External"/><Relationship Id="rId35" Type="http://schemas.openxmlformats.org/officeDocument/2006/relationships/hyperlink" Target="https://www.nfpa.org/product/nfpa-25-standard/p0025code" TargetMode="External"/><Relationship Id="rId43" Type="http://schemas.openxmlformats.org/officeDocument/2006/relationships/image" Target="media/image12.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www.ifrc.org/taxonomy/term/1264" TargetMode="External"/><Relationship Id="rId33" Type="http://schemas.openxmlformats.org/officeDocument/2006/relationships/hyperlink" Target="https://www.nfpa.org/product/101-lsc-essentials-2024-lvt/lv10124" TargetMode="External"/><Relationship Id="rId38" Type="http://schemas.openxmlformats.org/officeDocument/2006/relationships/hyperlink" Target="https://www.undrr.org/publication/sendai-framework-disaster-risk-reduction-2015-2030" TargetMode="External"/><Relationship Id="rId4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hyperlink" Target="https://www.newsday.co.zw/theindependent/business-digest/article/200033783/mbare-fire-tragic-reminder-to-safeguard-informal-sector"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Sheet2!$B$2</c:f>
              <c:strCache>
                <c:ptCount val="1"/>
                <c:pt idx="0">
                  <c:v>Commercial</c:v>
                </c:pt>
              </c:strCache>
            </c:strRef>
          </c:tx>
          <c:spPr>
            <a:solidFill>
              <a:schemeClr val="accent1"/>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Sheet2!$B$3:$B$13</c:f>
              <c:numCache>
                <c:formatCode>General</c:formatCode>
                <c:ptCount val="11"/>
                <c:pt idx="0">
                  <c:v>107</c:v>
                </c:pt>
                <c:pt idx="1">
                  <c:v>152</c:v>
                </c:pt>
                <c:pt idx="2">
                  <c:v>131</c:v>
                </c:pt>
                <c:pt idx="3">
                  <c:v>140</c:v>
                </c:pt>
                <c:pt idx="4">
                  <c:v>140</c:v>
                </c:pt>
                <c:pt idx="5">
                  <c:v>144</c:v>
                </c:pt>
                <c:pt idx="6">
                  <c:v>173</c:v>
                </c:pt>
                <c:pt idx="7">
                  <c:v>167</c:v>
                </c:pt>
                <c:pt idx="8">
                  <c:v>175</c:v>
                </c:pt>
                <c:pt idx="9">
                  <c:v>161</c:v>
                </c:pt>
                <c:pt idx="10">
                  <c:v>1490</c:v>
                </c:pt>
              </c:numCache>
            </c:numRef>
          </c:val>
          <c:extLst>
            <c:ext xmlns:c16="http://schemas.microsoft.com/office/drawing/2014/chart" uri="{C3380CC4-5D6E-409C-BE32-E72D297353CC}">
              <c16:uniqueId val="{00000000-3C86-4C47-9F28-6D01A8E0BA48}"/>
            </c:ext>
          </c:extLst>
        </c:ser>
        <c:ser>
          <c:idx val="1"/>
          <c:order val="1"/>
          <c:tx>
            <c:strRef>
              <c:f>Sheet2!$C$2</c:f>
              <c:strCache>
                <c:ptCount val="1"/>
                <c:pt idx="0">
                  <c:v>Domestic</c:v>
                </c:pt>
              </c:strCache>
            </c:strRef>
          </c:tx>
          <c:spPr>
            <a:solidFill>
              <a:schemeClr val="accent2"/>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Sheet2!$C$3:$C$13</c:f>
              <c:numCache>
                <c:formatCode>General</c:formatCode>
                <c:ptCount val="11"/>
                <c:pt idx="0">
                  <c:v>125</c:v>
                </c:pt>
                <c:pt idx="1">
                  <c:v>100</c:v>
                </c:pt>
                <c:pt idx="2">
                  <c:v>108</c:v>
                </c:pt>
                <c:pt idx="3">
                  <c:v>154</c:v>
                </c:pt>
                <c:pt idx="4">
                  <c:v>154</c:v>
                </c:pt>
                <c:pt idx="5">
                  <c:v>110</c:v>
                </c:pt>
                <c:pt idx="6">
                  <c:v>119</c:v>
                </c:pt>
                <c:pt idx="7">
                  <c:v>128</c:v>
                </c:pt>
                <c:pt idx="8">
                  <c:v>147</c:v>
                </c:pt>
                <c:pt idx="9">
                  <c:v>138</c:v>
                </c:pt>
                <c:pt idx="10">
                  <c:v>1283</c:v>
                </c:pt>
              </c:numCache>
            </c:numRef>
          </c:val>
          <c:extLst>
            <c:ext xmlns:c16="http://schemas.microsoft.com/office/drawing/2014/chart" uri="{C3380CC4-5D6E-409C-BE32-E72D297353CC}">
              <c16:uniqueId val="{00000001-3C86-4C47-9F28-6D01A8E0BA48}"/>
            </c:ext>
          </c:extLst>
        </c:ser>
        <c:ser>
          <c:idx val="2"/>
          <c:order val="2"/>
          <c:tx>
            <c:strRef>
              <c:f>Sheet2!$D$2</c:f>
              <c:strCache>
                <c:ptCount val="1"/>
                <c:pt idx="0">
                  <c:v>Industrial</c:v>
                </c:pt>
              </c:strCache>
            </c:strRef>
          </c:tx>
          <c:spPr>
            <a:solidFill>
              <a:schemeClr val="accent3"/>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Sheet2!$D$3:$D$13</c:f>
              <c:numCache>
                <c:formatCode>General</c:formatCode>
                <c:ptCount val="11"/>
                <c:pt idx="0">
                  <c:v>14</c:v>
                </c:pt>
                <c:pt idx="1">
                  <c:v>17</c:v>
                </c:pt>
                <c:pt idx="2">
                  <c:v>15</c:v>
                </c:pt>
                <c:pt idx="3">
                  <c:v>12</c:v>
                </c:pt>
                <c:pt idx="4">
                  <c:v>14</c:v>
                </c:pt>
                <c:pt idx="5">
                  <c:v>15</c:v>
                </c:pt>
                <c:pt idx="6">
                  <c:v>14</c:v>
                </c:pt>
                <c:pt idx="7">
                  <c:v>17</c:v>
                </c:pt>
                <c:pt idx="8">
                  <c:v>152</c:v>
                </c:pt>
                <c:pt idx="9">
                  <c:v>10</c:v>
                </c:pt>
                <c:pt idx="10">
                  <c:v>280</c:v>
                </c:pt>
              </c:numCache>
            </c:numRef>
          </c:val>
          <c:extLst>
            <c:ext xmlns:c16="http://schemas.microsoft.com/office/drawing/2014/chart" uri="{C3380CC4-5D6E-409C-BE32-E72D297353CC}">
              <c16:uniqueId val="{00000002-3C86-4C47-9F28-6D01A8E0BA48}"/>
            </c:ext>
          </c:extLst>
        </c:ser>
        <c:ser>
          <c:idx val="3"/>
          <c:order val="3"/>
          <c:tx>
            <c:strRef>
              <c:f>Sheet2!$E$2</c:f>
              <c:strCache>
                <c:ptCount val="1"/>
                <c:pt idx="0">
                  <c:v>Grass</c:v>
                </c:pt>
              </c:strCache>
            </c:strRef>
          </c:tx>
          <c:spPr>
            <a:solidFill>
              <a:schemeClr val="accent4"/>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Sheet2!$E$3:$E$13</c:f>
              <c:numCache>
                <c:formatCode>General</c:formatCode>
                <c:ptCount val="11"/>
                <c:pt idx="0">
                  <c:v>177</c:v>
                </c:pt>
                <c:pt idx="1">
                  <c:v>182</c:v>
                </c:pt>
                <c:pt idx="2">
                  <c:v>178</c:v>
                </c:pt>
                <c:pt idx="3">
                  <c:v>194</c:v>
                </c:pt>
                <c:pt idx="4">
                  <c:v>194</c:v>
                </c:pt>
                <c:pt idx="5">
                  <c:v>175</c:v>
                </c:pt>
                <c:pt idx="6">
                  <c:v>161</c:v>
                </c:pt>
                <c:pt idx="7">
                  <c:v>153</c:v>
                </c:pt>
                <c:pt idx="8">
                  <c:v>224</c:v>
                </c:pt>
                <c:pt idx="9">
                  <c:v>241</c:v>
                </c:pt>
                <c:pt idx="10">
                  <c:v>1879</c:v>
                </c:pt>
              </c:numCache>
            </c:numRef>
          </c:val>
          <c:extLst>
            <c:ext xmlns:c16="http://schemas.microsoft.com/office/drawing/2014/chart" uri="{C3380CC4-5D6E-409C-BE32-E72D297353CC}">
              <c16:uniqueId val="{00000003-3C86-4C47-9F28-6D01A8E0BA48}"/>
            </c:ext>
          </c:extLst>
        </c:ser>
        <c:ser>
          <c:idx val="4"/>
          <c:order val="4"/>
          <c:tx>
            <c:strRef>
              <c:f>Sheet2!$F$2</c:f>
              <c:strCache>
                <c:ptCount val="1"/>
                <c:pt idx="0">
                  <c:v>Rubbish</c:v>
                </c:pt>
              </c:strCache>
            </c:strRef>
          </c:tx>
          <c:spPr>
            <a:solidFill>
              <a:schemeClr val="accent5"/>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Sheet2!$F$3:$F$13</c:f>
              <c:numCache>
                <c:formatCode>General</c:formatCode>
                <c:ptCount val="11"/>
                <c:pt idx="0">
                  <c:v>83</c:v>
                </c:pt>
                <c:pt idx="1">
                  <c:v>76</c:v>
                </c:pt>
                <c:pt idx="2">
                  <c:v>69</c:v>
                </c:pt>
                <c:pt idx="3">
                  <c:v>86</c:v>
                </c:pt>
                <c:pt idx="4">
                  <c:v>86</c:v>
                </c:pt>
                <c:pt idx="5">
                  <c:v>69</c:v>
                </c:pt>
                <c:pt idx="6">
                  <c:v>0</c:v>
                </c:pt>
                <c:pt idx="7">
                  <c:v>87</c:v>
                </c:pt>
                <c:pt idx="8">
                  <c:v>86</c:v>
                </c:pt>
                <c:pt idx="9">
                  <c:v>109</c:v>
                </c:pt>
                <c:pt idx="10">
                  <c:v>751</c:v>
                </c:pt>
              </c:numCache>
            </c:numRef>
          </c:val>
          <c:extLst>
            <c:ext xmlns:c16="http://schemas.microsoft.com/office/drawing/2014/chart" uri="{C3380CC4-5D6E-409C-BE32-E72D297353CC}">
              <c16:uniqueId val="{00000004-3C86-4C47-9F28-6D01A8E0BA48}"/>
            </c:ext>
          </c:extLst>
        </c:ser>
        <c:ser>
          <c:idx val="5"/>
          <c:order val="5"/>
          <c:tx>
            <c:strRef>
              <c:f>Sheet2!$G$2</c:f>
              <c:strCache>
                <c:ptCount val="1"/>
                <c:pt idx="0">
                  <c:v>Home industries</c:v>
                </c:pt>
              </c:strCache>
            </c:strRef>
          </c:tx>
          <c:spPr>
            <a:solidFill>
              <a:schemeClr val="accent6"/>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Sheet2!$G$3:$G$13</c:f>
              <c:numCache>
                <c:formatCode>General</c:formatCode>
                <c:ptCount val="11"/>
                <c:pt idx="0">
                  <c:v>12</c:v>
                </c:pt>
                <c:pt idx="1">
                  <c:v>11</c:v>
                </c:pt>
                <c:pt idx="2">
                  <c:v>12</c:v>
                </c:pt>
                <c:pt idx="3">
                  <c:v>13</c:v>
                </c:pt>
                <c:pt idx="4">
                  <c:v>13</c:v>
                </c:pt>
                <c:pt idx="5">
                  <c:v>5</c:v>
                </c:pt>
                <c:pt idx="6">
                  <c:v>2</c:v>
                </c:pt>
                <c:pt idx="7">
                  <c:v>4</c:v>
                </c:pt>
                <c:pt idx="8">
                  <c:v>7</c:v>
                </c:pt>
                <c:pt idx="9">
                  <c:v>26</c:v>
                </c:pt>
                <c:pt idx="10">
                  <c:v>105</c:v>
                </c:pt>
              </c:numCache>
            </c:numRef>
          </c:val>
          <c:extLst>
            <c:ext xmlns:c16="http://schemas.microsoft.com/office/drawing/2014/chart" uri="{C3380CC4-5D6E-409C-BE32-E72D297353CC}">
              <c16:uniqueId val="{00000005-3C86-4C47-9F28-6D01A8E0BA48}"/>
            </c:ext>
          </c:extLst>
        </c:ser>
        <c:ser>
          <c:idx val="6"/>
          <c:order val="6"/>
          <c:tx>
            <c:strRef>
              <c:f>Sheet2!$H$2</c:f>
              <c:strCache>
                <c:ptCount val="1"/>
                <c:pt idx="0">
                  <c:v>Market Fires </c:v>
                </c:pt>
              </c:strCache>
            </c:strRef>
          </c:tx>
          <c:spPr>
            <a:solidFill>
              <a:schemeClr val="accent1">
                <a:lumMod val="60000"/>
              </a:schemeClr>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Sheet2!$H$3:$H$13</c:f>
              <c:numCache>
                <c:formatCode>General</c:formatCode>
                <c:ptCount val="11"/>
                <c:pt idx="0">
                  <c:v>1</c:v>
                </c:pt>
                <c:pt idx="1">
                  <c:v>1</c:v>
                </c:pt>
                <c:pt idx="2">
                  <c:v>3</c:v>
                </c:pt>
                <c:pt idx="3">
                  <c:v>2</c:v>
                </c:pt>
                <c:pt idx="4">
                  <c:v>2</c:v>
                </c:pt>
                <c:pt idx="5">
                  <c:v>3</c:v>
                </c:pt>
                <c:pt idx="6">
                  <c:v>2</c:v>
                </c:pt>
                <c:pt idx="7">
                  <c:v>4</c:v>
                </c:pt>
                <c:pt idx="8">
                  <c:v>4</c:v>
                </c:pt>
                <c:pt idx="9">
                  <c:v>3</c:v>
                </c:pt>
                <c:pt idx="10">
                  <c:v>25</c:v>
                </c:pt>
              </c:numCache>
            </c:numRef>
          </c:val>
          <c:extLst>
            <c:ext xmlns:c16="http://schemas.microsoft.com/office/drawing/2014/chart" uri="{C3380CC4-5D6E-409C-BE32-E72D297353CC}">
              <c16:uniqueId val="{00000006-3C86-4C47-9F28-6D01A8E0BA48}"/>
            </c:ext>
          </c:extLst>
        </c:ser>
        <c:ser>
          <c:idx val="7"/>
          <c:order val="7"/>
          <c:tx>
            <c:strRef>
              <c:f>Sheet2!$I$2</c:f>
              <c:strCache>
                <c:ptCount val="1"/>
                <c:pt idx="0">
                  <c:v>Total</c:v>
                </c:pt>
              </c:strCache>
            </c:strRef>
          </c:tx>
          <c:spPr>
            <a:solidFill>
              <a:schemeClr val="accent2">
                <a:lumMod val="60000"/>
              </a:schemeClr>
            </a:solidFill>
            <a:ln>
              <a:noFill/>
            </a:ln>
            <a:effectLst/>
          </c:spPr>
          <c:invertIfNegative val="0"/>
          <c:cat>
            <c:strRef>
              <c:f>Sheet2!$A$3:$A$13</c:f>
              <c:strCache>
                <c:ptCount val="11"/>
                <c:pt idx="0">
                  <c:v>2015</c:v>
                </c:pt>
                <c:pt idx="1">
                  <c:v>2016</c:v>
                </c:pt>
                <c:pt idx="2">
                  <c:v>2017</c:v>
                </c:pt>
                <c:pt idx="3">
                  <c:v>2018</c:v>
                </c:pt>
                <c:pt idx="4">
                  <c:v>2019</c:v>
                </c:pt>
                <c:pt idx="5">
                  <c:v>2020</c:v>
                </c:pt>
                <c:pt idx="6">
                  <c:v>2021</c:v>
                </c:pt>
                <c:pt idx="7">
                  <c:v>2022</c:v>
                </c:pt>
                <c:pt idx="8">
                  <c:v>2023</c:v>
                </c:pt>
                <c:pt idx="9">
                  <c:v>2024</c:v>
                </c:pt>
                <c:pt idx="10">
                  <c:v>Total</c:v>
                </c:pt>
              </c:strCache>
            </c:strRef>
          </c:cat>
          <c:val>
            <c:numRef>
              <c:f>Sheet2!$I$3:$I$13</c:f>
              <c:numCache>
                <c:formatCode>General</c:formatCode>
                <c:ptCount val="11"/>
                <c:pt idx="0">
                  <c:v>519</c:v>
                </c:pt>
                <c:pt idx="1">
                  <c:v>539</c:v>
                </c:pt>
                <c:pt idx="2">
                  <c:v>516</c:v>
                </c:pt>
                <c:pt idx="3">
                  <c:v>601</c:v>
                </c:pt>
                <c:pt idx="4">
                  <c:v>601</c:v>
                </c:pt>
                <c:pt idx="5">
                  <c:v>521</c:v>
                </c:pt>
                <c:pt idx="6">
                  <c:v>471</c:v>
                </c:pt>
                <c:pt idx="7">
                  <c:v>658</c:v>
                </c:pt>
                <c:pt idx="8">
                  <c:v>658</c:v>
                </c:pt>
                <c:pt idx="9">
                  <c:v>688</c:v>
                </c:pt>
                <c:pt idx="10">
                  <c:v>5772</c:v>
                </c:pt>
              </c:numCache>
            </c:numRef>
          </c:val>
          <c:extLst>
            <c:ext xmlns:c16="http://schemas.microsoft.com/office/drawing/2014/chart" uri="{C3380CC4-5D6E-409C-BE32-E72D297353CC}">
              <c16:uniqueId val="{00000007-3C86-4C47-9F28-6D01A8E0BA48}"/>
            </c:ext>
          </c:extLst>
        </c:ser>
        <c:dLbls>
          <c:showLegendKey val="0"/>
          <c:showVal val="0"/>
          <c:showCatName val="0"/>
          <c:showSerName val="0"/>
          <c:showPercent val="0"/>
          <c:showBubbleSize val="0"/>
        </c:dLbls>
        <c:gapWidth val="219"/>
        <c:overlap val="-27"/>
        <c:axId val="818234192"/>
        <c:axId val="818234736"/>
      </c:barChart>
      <c:catAx>
        <c:axId val="818234192"/>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234736"/>
        <c:crosses val="autoZero"/>
        <c:auto val="1"/>
        <c:lblAlgn val="ctr"/>
        <c:lblOffset val="100"/>
        <c:noMultiLvlLbl val="0"/>
      </c:catAx>
      <c:valAx>
        <c:axId val="818234736"/>
        <c:scaling>
          <c:orientation val="minMax"/>
        </c:scaling>
        <c:delete val="0"/>
        <c:axPos val="l"/>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1823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Fire Risk Assessments</a:t>
            </a:r>
            <a:r>
              <a:rPr lang="en-US" baseline="0"/>
              <a:t> Statistics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Sheet2!$B$2</c:f>
              <c:strCache>
                <c:ptCount val="1"/>
                <c:pt idx="0">
                  <c:v>Compliant</c:v>
                </c:pt>
              </c:strCache>
            </c:strRef>
          </c:tx>
          <c:spPr>
            <a:solidFill>
              <a:schemeClr val="accent1"/>
            </a:solidFill>
            <a:ln>
              <a:noFill/>
            </a:ln>
            <a:effectLst/>
          </c:spPr>
          <c:invertIfNegative val="0"/>
          <c:cat>
            <c:strRef>
              <c:f>Sheet2!$A$3:$A$12</c:f>
              <c:strCache>
                <c:ptCount val="10"/>
                <c:pt idx="0">
                  <c:v>CBD Quadrant 1</c:v>
                </c:pt>
                <c:pt idx="1">
                  <c:v>CBD Quadrant 2</c:v>
                </c:pt>
                <c:pt idx="2">
                  <c:v>CBD Quadrant 3</c:v>
                </c:pt>
                <c:pt idx="3">
                  <c:v>CBD Quadrant 4</c:v>
                </c:pt>
                <c:pt idx="4">
                  <c:v>Willowvale Industrial</c:v>
                </c:pt>
                <c:pt idx="5">
                  <c:v>Glen Eagles Industrial</c:v>
                </c:pt>
                <c:pt idx="6">
                  <c:v>Southerton Industrial</c:v>
                </c:pt>
                <c:pt idx="7">
                  <c:v>Tynwald Industrial</c:v>
                </c:pt>
                <c:pt idx="8">
                  <c:v>Markets</c:v>
                </c:pt>
                <c:pt idx="9">
                  <c:v>Home industries</c:v>
                </c:pt>
              </c:strCache>
            </c:strRef>
          </c:cat>
          <c:val>
            <c:numRef>
              <c:f>Sheet2!$B$3:$B$12</c:f>
              <c:numCache>
                <c:formatCode>General</c:formatCode>
                <c:ptCount val="10"/>
                <c:pt idx="0">
                  <c:v>116</c:v>
                </c:pt>
                <c:pt idx="1">
                  <c:v>76</c:v>
                </c:pt>
                <c:pt idx="2">
                  <c:v>67</c:v>
                </c:pt>
                <c:pt idx="3">
                  <c:v>81</c:v>
                </c:pt>
                <c:pt idx="4">
                  <c:v>79</c:v>
                </c:pt>
                <c:pt idx="5">
                  <c:v>22</c:v>
                </c:pt>
                <c:pt idx="6">
                  <c:v>35</c:v>
                </c:pt>
                <c:pt idx="7">
                  <c:v>42</c:v>
                </c:pt>
                <c:pt idx="8">
                  <c:v>0</c:v>
                </c:pt>
                <c:pt idx="9">
                  <c:v>0</c:v>
                </c:pt>
              </c:numCache>
            </c:numRef>
          </c:val>
          <c:extLst>
            <c:ext xmlns:c16="http://schemas.microsoft.com/office/drawing/2014/chart" uri="{C3380CC4-5D6E-409C-BE32-E72D297353CC}">
              <c16:uniqueId val="{00000000-8348-4D46-9B87-EA9BC3977B4E}"/>
            </c:ext>
          </c:extLst>
        </c:ser>
        <c:ser>
          <c:idx val="1"/>
          <c:order val="1"/>
          <c:tx>
            <c:strRef>
              <c:f>Sheet2!$C$2</c:f>
              <c:strCache>
                <c:ptCount val="1"/>
                <c:pt idx="0">
                  <c:v>Total Inspected</c:v>
                </c:pt>
              </c:strCache>
            </c:strRef>
          </c:tx>
          <c:spPr>
            <a:solidFill>
              <a:schemeClr val="accent2"/>
            </a:solidFill>
            <a:ln>
              <a:noFill/>
            </a:ln>
            <a:effectLst/>
          </c:spPr>
          <c:invertIfNegative val="0"/>
          <c:cat>
            <c:strRef>
              <c:f>Sheet2!$A$3:$A$12</c:f>
              <c:strCache>
                <c:ptCount val="10"/>
                <c:pt idx="0">
                  <c:v>CBD Quadrant 1</c:v>
                </c:pt>
                <c:pt idx="1">
                  <c:v>CBD Quadrant 2</c:v>
                </c:pt>
                <c:pt idx="2">
                  <c:v>CBD Quadrant 3</c:v>
                </c:pt>
                <c:pt idx="3">
                  <c:v>CBD Quadrant 4</c:v>
                </c:pt>
                <c:pt idx="4">
                  <c:v>Willowvale Industrial</c:v>
                </c:pt>
                <c:pt idx="5">
                  <c:v>Glen Eagles Industrial</c:v>
                </c:pt>
                <c:pt idx="6">
                  <c:v>Southerton Industrial</c:v>
                </c:pt>
                <c:pt idx="7">
                  <c:v>Tynwald Industrial</c:v>
                </c:pt>
                <c:pt idx="8">
                  <c:v>Markets</c:v>
                </c:pt>
                <c:pt idx="9">
                  <c:v>Home industries</c:v>
                </c:pt>
              </c:strCache>
            </c:strRef>
          </c:cat>
          <c:val>
            <c:numRef>
              <c:f>Sheet2!$C$3:$C$12</c:f>
              <c:numCache>
                <c:formatCode>General</c:formatCode>
                <c:ptCount val="10"/>
                <c:pt idx="0">
                  <c:v>624</c:v>
                </c:pt>
                <c:pt idx="1">
                  <c:v>400</c:v>
                </c:pt>
                <c:pt idx="2">
                  <c:v>146</c:v>
                </c:pt>
                <c:pt idx="3">
                  <c:v>224</c:v>
                </c:pt>
                <c:pt idx="4">
                  <c:v>526</c:v>
                </c:pt>
                <c:pt idx="5">
                  <c:v>222</c:v>
                </c:pt>
                <c:pt idx="6">
                  <c:v>112</c:v>
                </c:pt>
                <c:pt idx="7">
                  <c:v>294</c:v>
                </c:pt>
                <c:pt idx="8">
                  <c:v>3</c:v>
                </c:pt>
                <c:pt idx="9">
                  <c:v>2</c:v>
                </c:pt>
              </c:numCache>
            </c:numRef>
          </c:val>
          <c:extLst>
            <c:ext xmlns:c16="http://schemas.microsoft.com/office/drawing/2014/chart" uri="{C3380CC4-5D6E-409C-BE32-E72D297353CC}">
              <c16:uniqueId val="{00000001-8348-4D46-9B87-EA9BC3977B4E}"/>
            </c:ext>
          </c:extLst>
        </c:ser>
        <c:ser>
          <c:idx val="2"/>
          <c:order val="2"/>
          <c:tx>
            <c:strRef>
              <c:f>Sheet2!$D$2</c:f>
              <c:strCache>
                <c:ptCount val="1"/>
                <c:pt idx="0">
                  <c:v>Compliance Rate (%)</c:v>
                </c:pt>
              </c:strCache>
            </c:strRef>
          </c:tx>
          <c:spPr>
            <a:solidFill>
              <a:schemeClr val="accent3"/>
            </a:solidFill>
            <a:ln>
              <a:noFill/>
            </a:ln>
            <a:effectLst/>
          </c:spPr>
          <c:invertIfNegative val="0"/>
          <c:cat>
            <c:strRef>
              <c:f>Sheet2!$A$3:$A$12</c:f>
              <c:strCache>
                <c:ptCount val="10"/>
                <c:pt idx="0">
                  <c:v>CBD Quadrant 1</c:v>
                </c:pt>
                <c:pt idx="1">
                  <c:v>CBD Quadrant 2</c:v>
                </c:pt>
                <c:pt idx="2">
                  <c:v>CBD Quadrant 3</c:v>
                </c:pt>
                <c:pt idx="3">
                  <c:v>CBD Quadrant 4</c:v>
                </c:pt>
                <c:pt idx="4">
                  <c:v>Willowvale Industrial</c:v>
                </c:pt>
                <c:pt idx="5">
                  <c:v>Glen Eagles Industrial</c:v>
                </c:pt>
                <c:pt idx="6">
                  <c:v>Southerton Industrial</c:v>
                </c:pt>
                <c:pt idx="7">
                  <c:v>Tynwald Industrial</c:v>
                </c:pt>
                <c:pt idx="8">
                  <c:v>Markets</c:v>
                </c:pt>
                <c:pt idx="9">
                  <c:v>Home industries</c:v>
                </c:pt>
              </c:strCache>
            </c:strRef>
          </c:cat>
          <c:val>
            <c:numRef>
              <c:f>Sheet2!$D$3:$D$12</c:f>
              <c:numCache>
                <c:formatCode>General</c:formatCode>
                <c:ptCount val="10"/>
                <c:pt idx="0">
                  <c:v>18.600000000000001</c:v>
                </c:pt>
                <c:pt idx="1">
                  <c:v>19</c:v>
                </c:pt>
                <c:pt idx="2">
                  <c:v>45.9</c:v>
                </c:pt>
                <c:pt idx="3">
                  <c:v>36.200000000000003</c:v>
                </c:pt>
                <c:pt idx="4">
                  <c:v>15</c:v>
                </c:pt>
                <c:pt idx="5">
                  <c:v>9.9</c:v>
                </c:pt>
                <c:pt idx="6">
                  <c:v>31.3</c:v>
                </c:pt>
                <c:pt idx="7">
                  <c:v>14.3</c:v>
                </c:pt>
                <c:pt idx="8" formatCode="0%">
                  <c:v>0</c:v>
                </c:pt>
                <c:pt idx="9" formatCode="0%">
                  <c:v>0</c:v>
                </c:pt>
              </c:numCache>
            </c:numRef>
          </c:val>
          <c:extLst>
            <c:ext xmlns:c16="http://schemas.microsoft.com/office/drawing/2014/chart" uri="{C3380CC4-5D6E-409C-BE32-E72D297353CC}">
              <c16:uniqueId val="{00000002-8348-4D46-9B87-EA9BC3977B4E}"/>
            </c:ext>
          </c:extLst>
        </c:ser>
        <c:ser>
          <c:idx val="3"/>
          <c:order val="3"/>
          <c:tx>
            <c:strRef>
              <c:f>Sheet2!$E$2</c:f>
              <c:strCache>
                <c:ptCount val="1"/>
                <c:pt idx="0">
                  <c:v>Risk Category</c:v>
                </c:pt>
              </c:strCache>
            </c:strRef>
          </c:tx>
          <c:spPr>
            <a:solidFill>
              <a:schemeClr val="accent4"/>
            </a:solidFill>
            <a:ln>
              <a:noFill/>
            </a:ln>
            <a:effectLst/>
          </c:spPr>
          <c:invertIfNegative val="0"/>
          <c:cat>
            <c:strRef>
              <c:f>Sheet2!$A$3:$A$12</c:f>
              <c:strCache>
                <c:ptCount val="10"/>
                <c:pt idx="0">
                  <c:v>CBD Quadrant 1</c:v>
                </c:pt>
                <c:pt idx="1">
                  <c:v>CBD Quadrant 2</c:v>
                </c:pt>
                <c:pt idx="2">
                  <c:v>CBD Quadrant 3</c:v>
                </c:pt>
                <c:pt idx="3">
                  <c:v>CBD Quadrant 4</c:v>
                </c:pt>
                <c:pt idx="4">
                  <c:v>Willowvale Industrial</c:v>
                </c:pt>
                <c:pt idx="5">
                  <c:v>Glen Eagles Industrial</c:v>
                </c:pt>
                <c:pt idx="6">
                  <c:v>Southerton Industrial</c:v>
                </c:pt>
                <c:pt idx="7">
                  <c:v>Tynwald Industrial</c:v>
                </c:pt>
                <c:pt idx="8">
                  <c:v>Markets</c:v>
                </c:pt>
                <c:pt idx="9">
                  <c:v>Home industries</c:v>
                </c:pt>
              </c:strCache>
            </c:strRef>
          </c:cat>
          <c:val>
            <c:numRef>
              <c:f>Sheet2!$E$3:$E$12</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3-8348-4D46-9B87-EA9BC3977B4E}"/>
            </c:ext>
          </c:extLst>
        </c:ser>
        <c:dLbls>
          <c:showLegendKey val="0"/>
          <c:showVal val="0"/>
          <c:showCatName val="0"/>
          <c:showSerName val="0"/>
          <c:showPercent val="0"/>
          <c:showBubbleSize val="0"/>
        </c:dLbls>
        <c:gapWidth val="219"/>
        <c:overlap val="-27"/>
        <c:axId val="818229840"/>
        <c:axId val="818238000"/>
      </c:barChart>
      <c:catAx>
        <c:axId val="818229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238000"/>
        <c:crosses val="autoZero"/>
        <c:auto val="1"/>
        <c:lblAlgn val="ctr"/>
        <c:lblOffset val="100"/>
        <c:noMultiLvlLbl val="0"/>
      </c:catAx>
      <c:valAx>
        <c:axId val="818238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229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F99E5-E9C1-4EA4-A0BB-FEF7F6D52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145</Pages>
  <Words>40233</Words>
  <Characters>229330</Characters>
  <Application>Microsoft Office Word</Application>
  <DocSecurity>0</DocSecurity>
  <Lines>1911</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 Chinyowa</dc:creator>
  <cp:keywords/>
  <dc:description/>
  <cp:lastModifiedBy>Students Accounts</cp:lastModifiedBy>
  <cp:revision>22</cp:revision>
  <dcterms:created xsi:type="dcterms:W3CDTF">2026-05-18T07:42:00Z</dcterms:created>
  <dcterms:modified xsi:type="dcterms:W3CDTF">2026-08-06T11:52:00Z</dcterms:modified>
</cp:coreProperties>
</file>